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A3F1" w14:textId="388B9D61" w:rsidR="00BE16C1" w:rsidRPr="00BE16C1" w:rsidRDefault="006B2F62" w:rsidP="00BE16C1">
      <w:bookmarkStart w:id="0" w:name="_Toc424065744"/>
      <w:r>
        <w:rPr>
          <w:noProof/>
        </w:rPr>
        <mc:AlternateContent>
          <mc:Choice Requires="wps">
            <w:drawing>
              <wp:anchor distT="114300" distB="114300" distL="114300" distR="114300" simplePos="0" relativeHeight="251659264" behindDoc="1" locked="0" layoutInCell="0" allowOverlap="1" wp14:anchorId="75B2395D" wp14:editId="21F78FAE">
                <wp:simplePos x="0" y="0"/>
                <wp:positionH relativeFrom="margin">
                  <wp:posOffset>4732655</wp:posOffset>
                </wp:positionH>
                <wp:positionV relativeFrom="paragraph">
                  <wp:posOffset>3175</wp:posOffset>
                </wp:positionV>
                <wp:extent cx="1676400" cy="1370330"/>
                <wp:effectExtent l="25400" t="0" r="50800" b="839470"/>
                <wp:wrapSquare wrapText="bothSides"/>
                <wp:docPr id="1" name="Cloud Callou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370330"/>
                        </a:xfrm>
                        <a:prstGeom prst="cloudCallout">
                          <a:avLst>
                            <a:gd name="adj1" fmla="val -37441"/>
                            <a:gd name="adj2" fmla="val 104751"/>
                          </a:avLst>
                        </a:prstGeom>
                        <a:solidFill>
                          <a:srgbClr val="F1C232"/>
                        </a:solidFill>
                        <a:ln w="19050">
                          <a:solidFill>
                            <a:srgbClr val="000000"/>
                          </a:solidFill>
                          <a:round/>
                          <a:headEnd/>
                          <a:tailEnd/>
                        </a:ln>
                      </wps:spPr>
                      <wps:txbx>
                        <w:txbxContent>
                          <w:p w14:paraId="4E714353" w14:textId="77777777" w:rsidR="007D7E57" w:rsidRDefault="007D7E57" w:rsidP="007D7E57">
                            <w:pPr>
                              <w:jc w:val="center"/>
                              <w:textDirection w:val="btLr"/>
                            </w:pPr>
                            <w:r>
                              <w:rPr>
                                <w:rFonts w:ascii="Calibri" w:eastAsia="Calibri" w:hAnsi="Calibri" w:cs="Calibri"/>
                                <w:b/>
                              </w:rPr>
                              <w:t>What motivates students and engages them? interest</w:t>
                            </w:r>
                          </w:p>
                        </w:txbxContent>
                      </wps:txbx>
                      <wps:bodyPr rot="0" vert="horz" wrap="square" lIns="91424" tIns="91424" rIns="91424" bIns="91424"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395D"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8" o:spid="_x0000_s1026" type="#_x0000_t106" style="position:absolute;margin-left:372.65pt;margin-top:.25pt;width:132pt;height:107.9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" o:allowincell="f" adj="2713,33426" fillcolor="#f1c232" strokeweight="1.5pt">
                <v:textbox inset="91424emu,91424emu,91424emu,91424emu">
                  <w:txbxContent>
                    <w:p w14:paraId="4E714353" w14:textId="77777777" w:rsidR="007D7E57" w:rsidRDefault="007D7E57" w:rsidP="007D7E57">
                      <w:pPr>
                        <w:jc w:val="center"/>
                        <w:textDirection w:val="btLr"/>
                      </w:pPr>
                      <w:r>
                        <w:rPr>
                          <w:rFonts w:ascii="Calibri" w:eastAsia="Calibri" w:hAnsi="Calibri" w:cs="Calibri"/>
                          <w:b/>
                        </w:rPr>
                        <w:t>What motivates students and engages them? interest</w:t>
                      </w:r>
                    </w:p>
                  </w:txbxContent>
                </v:textbox>
                <w10:wrap type="square" anchorx="margin"/>
              </v:shape>
            </w:pict>
          </mc:Fallback>
        </mc:AlternateContent>
      </w:r>
    </w:p>
    <w:bookmarkEnd w:id="0"/>
    <w:p w14:paraId="59A317AF" w14:textId="6DB7A040" w:rsidR="00390F43" w:rsidRDefault="00390F43" w:rsidP="0031058A"/>
    <w:p w14:paraId="60D08B2F" w14:textId="765F32A4" w:rsidR="007D7E57" w:rsidRDefault="007D7E57" w:rsidP="0031058A"/>
    <w:p w14:paraId="3B787885" w14:textId="77777777" w:rsidR="007D7E57" w:rsidRDefault="007D7E57" w:rsidP="0031058A"/>
    <w:p w14:paraId="17B4561E" w14:textId="77777777" w:rsidR="007D7E57" w:rsidRDefault="007D7E57" w:rsidP="0031058A"/>
    <w:p w14:paraId="7C588188" w14:textId="77777777" w:rsidR="00BE16C1" w:rsidRDefault="00BE16C1" w:rsidP="0031058A"/>
    <w:p w14:paraId="6A6E26EE" w14:textId="77777777" w:rsidR="00BE16C1" w:rsidRPr="005A39F9" w:rsidRDefault="00BE16C1" w:rsidP="00BE16C1">
      <w:pPr>
        <w:pStyle w:val="Heading2"/>
        <w:rPr>
          <w:color w:val="auto"/>
          <w:sz w:val="48"/>
          <w:szCs w:val="48"/>
        </w:rPr>
      </w:pPr>
      <w:r w:rsidRPr="005A39F9">
        <w:rPr>
          <w:color w:val="auto"/>
          <w:sz w:val="48"/>
          <w:szCs w:val="48"/>
        </w:rPr>
        <w:t xml:space="preserve">Motivating and Engaging Students </w:t>
      </w:r>
    </w:p>
    <w:p w14:paraId="1ED8614A" w14:textId="77777777" w:rsidR="00BE16C1" w:rsidRDefault="00BE16C1" w:rsidP="0031058A"/>
    <w:p w14:paraId="6E190BC7" w14:textId="77777777" w:rsidR="00BE16C1" w:rsidRDefault="00BE16C1" w:rsidP="0031058A"/>
    <w:p w14:paraId="51E5BE76" w14:textId="77777777" w:rsidR="00BE16C1" w:rsidRDefault="00BE16C1" w:rsidP="0031058A"/>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3"/>
        <w:gridCol w:w="6137"/>
      </w:tblGrid>
      <w:tr w:rsidR="0031058A" w14:paraId="28AB8AF4" w14:textId="77777777" w:rsidTr="00BB22EA">
        <w:tc>
          <w:tcPr>
            <w:tcW w:w="4008" w:type="dxa"/>
            <w:tcMar>
              <w:top w:w="100" w:type="dxa"/>
              <w:left w:w="100" w:type="dxa"/>
              <w:bottom w:w="100" w:type="dxa"/>
              <w:right w:w="100" w:type="dxa"/>
            </w:tcMar>
          </w:tcPr>
          <w:p w14:paraId="2DD79C3B" w14:textId="20E23961" w:rsidR="0031058A" w:rsidRDefault="00CB3223" w:rsidP="00BB22EA">
            <w:r>
              <w:t>“To m</w:t>
            </w:r>
            <w:r w:rsidR="0031058A">
              <w:t>eet learning goals while creating independent lifelong learners, classrooms and schools should adhere to the following 10 standard</w:t>
            </w:r>
            <w:r w:rsidR="00F01C7D">
              <w:t>s for engagement and motivation</w:t>
            </w:r>
            <w:r w:rsidR="00BB30C6">
              <w:t>.</w:t>
            </w:r>
            <w:r w:rsidR="0031058A">
              <w:t>”</w:t>
            </w:r>
            <w:r>
              <w:t xml:space="preserve"> </w:t>
            </w:r>
            <w:r w:rsidR="00974113">
              <w:t xml:space="preserve">(Lent &amp; Gilmore, </w:t>
            </w:r>
            <w:r>
              <w:t>2014, pp. 66-67)</w:t>
            </w:r>
          </w:p>
        </w:tc>
        <w:tc>
          <w:tcPr>
            <w:tcW w:w="6272" w:type="dxa"/>
            <w:tcMar>
              <w:top w:w="100" w:type="dxa"/>
              <w:left w:w="100" w:type="dxa"/>
              <w:bottom w:w="100" w:type="dxa"/>
              <w:right w:w="100" w:type="dxa"/>
            </w:tcMar>
          </w:tcPr>
          <w:p w14:paraId="3B5510DC" w14:textId="77777777" w:rsidR="00934470" w:rsidRDefault="00F01C7D" w:rsidP="00934470">
            <w:pPr>
              <w:pStyle w:val="ListParagraph"/>
              <w:ind w:left="0"/>
            </w:pPr>
            <w:r>
              <w:t>Ten</w:t>
            </w:r>
            <w:r w:rsidR="00934470">
              <w:t xml:space="preserve"> standards</w:t>
            </w:r>
            <w:r w:rsidR="00BE16C1">
              <w:t xml:space="preserve"> for engagement and motivation:</w:t>
            </w:r>
          </w:p>
          <w:p w14:paraId="4974A0B6" w14:textId="77777777" w:rsidR="00934470" w:rsidRDefault="00934470" w:rsidP="00934470">
            <w:pPr>
              <w:pStyle w:val="ListParagraph"/>
              <w:ind w:left="0"/>
            </w:pPr>
          </w:p>
          <w:p w14:paraId="1A464953" w14:textId="77777777" w:rsidR="0031058A" w:rsidRDefault="0031058A" w:rsidP="004E27DA">
            <w:pPr>
              <w:pStyle w:val="ListParagraph"/>
              <w:numPr>
                <w:ilvl w:val="0"/>
                <w:numId w:val="49"/>
              </w:numPr>
            </w:pPr>
            <w:r>
              <w:t>Active learning permeates instruction</w:t>
            </w:r>
          </w:p>
          <w:p w14:paraId="1577BB83" w14:textId="77777777" w:rsidR="0031058A" w:rsidRDefault="0031058A" w:rsidP="004E27DA">
            <w:pPr>
              <w:pStyle w:val="ListParagraph"/>
              <w:numPr>
                <w:ilvl w:val="0"/>
                <w:numId w:val="49"/>
              </w:numPr>
            </w:pPr>
            <w:r>
              <w:t>Lessons and projects incorporate student autonomy</w:t>
            </w:r>
          </w:p>
          <w:p w14:paraId="2D615992" w14:textId="77777777" w:rsidR="0031058A" w:rsidRDefault="0031058A" w:rsidP="004E27DA">
            <w:pPr>
              <w:pStyle w:val="ListParagraph"/>
              <w:numPr>
                <w:ilvl w:val="0"/>
                <w:numId w:val="49"/>
              </w:numPr>
            </w:pPr>
            <w:r>
              <w:t>Relevance creates authentic purposes for learning</w:t>
            </w:r>
          </w:p>
          <w:p w14:paraId="0AB60CBC" w14:textId="77777777" w:rsidR="0031058A" w:rsidRDefault="0031058A" w:rsidP="004E27DA">
            <w:pPr>
              <w:pStyle w:val="ListParagraph"/>
              <w:numPr>
                <w:ilvl w:val="0"/>
                <w:numId w:val="49"/>
              </w:numPr>
            </w:pPr>
            <w:r>
              <w:t>Students have frequent opportunities for collaboration</w:t>
            </w:r>
          </w:p>
          <w:p w14:paraId="051341D9" w14:textId="77777777" w:rsidR="0031058A" w:rsidRDefault="0031058A" w:rsidP="004E27DA">
            <w:pPr>
              <w:pStyle w:val="ListParagraph"/>
              <w:numPr>
                <w:ilvl w:val="0"/>
                <w:numId w:val="49"/>
              </w:numPr>
            </w:pPr>
            <w:r>
              <w:t>Technology is used appropriately to increase learning opportunities and depth of study</w:t>
            </w:r>
          </w:p>
          <w:p w14:paraId="4ED1C220" w14:textId="77777777" w:rsidR="0031058A" w:rsidRDefault="0031058A" w:rsidP="004E27DA">
            <w:pPr>
              <w:pStyle w:val="ListParagraph"/>
              <w:numPr>
                <w:ilvl w:val="0"/>
                <w:numId w:val="49"/>
              </w:numPr>
            </w:pPr>
            <w:r>
              <w:t>Multiple learning methods create opportunities for intellectual growth</w:t>
            </w:r>
          </w:p>
          <w:p w14:paraId="60112A7A" w14:textId="77777777" w:rsidR="0031058A" w:rsidRDefault="0031058A" w:rsidP="004E27DA">
            <w:pPr>
              <w:pStyle w:val="ListParagraph"/>
              <w:numPr>
                <w:ilvl w:val="0"/>
                <w:numId w:val="49"/>
              </w:numPr>
            </w:pPr>
            <w:r>
              <w:t>The right balance of challenge success creates a climate for independence</w:t>
            </w:r>
          </w:p>
          <w:p w14:paraId="0D9776E5" w14:textId="77777777" w:rsidR="0031058A" w:rsidRDefault="0031058A" w:rsidP="004E27DA">
            <w:pPr>
              <w:pStyle w:val="ListParagraph"/>
              <w:numPr>
                <w:ilvl w:val="0"/>
                <w:numId w:val="49"/>
              </w:numPr>
            </w:pPr>
            <w:r>
              <w:t>Differentiation and scaffolding ensure that every student has opportunities to learn well.</w:t>
            </w:r>
          </w:p>
          <w:p w14:paraId="06B8EA3D" w14:textId="77777777" w:rsidR="0031058A" w:rsidRDefault="0031058A" w:rsidP="004E27DA">
            <w:pPr>
              <w:pStyle w:val="ListParagraph"/>
              <w:numPr>
                <w:ilvl w:val="0"/>
                <w:numId w:val="49"/>
              </w:numPr>
            </w:pPr>
            <w:r>
              <w:t>Feedback and authentic assessment create deep, sustained learning.</w:t>
            </w:r>
          </w:p>
          <w:p w14:paraId="7EFEDEBA" w14:textId="77777777" w:rsidR="0031058A" w:rsidRDefault="0031058A" w:rsidP="004E27DA">
            <w:pPr>
              <w:pStyle w:val="ListParagraph"/>
              <w:numPr>
                <w:ilvl w:val="0"/>
                <w:numId w:val="49"/>
              </w:numPr>
            </w:pPr>
            <w:r>
              <w:t>Inquiry promotes a sense of curiosity and a desire to learn.</w:t>
            </w:r>
          </w:p>
          <w:p w14:paraId="12B38B18" w14:textId="77777777" w:rsidR="004E27DA" w:rsidRDefault="004E27DA" w:rsidP="00BB22EA"/>
          <w:p w14:paraId="0CEBE593" w14:textId="77777777" w:rsidR="0031058A" w:rsidRDefault="002D079E" w:rsidP="00BB22EA">
            <w:hyperlink r:id="rId7">
              <w:r w:rsidR="0031058A" w:rsidRPr="000A54D8">
                <w:rPr>
                  <w:color w:val="1155CC"/>
                  <w:u w:val="single"/>
                </w:rPr>
                <w:t>http://www.ascd.org/publications/educational-leadership/sept14/vol72/num01/10-Standards-for-Motivation.aspx</w:t>
              </w:r>
            </w:hyperlink>
            <w:r w:rsidR="0031058A">
              <w:t xml:space="preserve"> </w:t>
            </w:r>
          </w:p>
          <w:p w14:paraId="50D2E150" w14:textId="77777777" w:rsidR="0031058A" w:rsidRDefault="0031058A" w:rsidP="00BB22EA"/>
          <w:p w14:paraId="451A9AA5" w14:textId="77777777" w:rsidR="0031058A" w:rsidRDefault="00743DC0" w:rsidP="00BB22EA">
            <w:r>
              <w:t xml:space="preserve">Expanded information </w:t>
            </w:r>
            <w:r w:rsidR="001761DB">
              <w:t>can</w:t>
            </w:r>
            <w:r w:rsidR="00AA18DD">
              <w:t xml:space="preserve"> be found </w:t>
            </w:r>
            <w:r>
              <w:t xml:space="preserve">in </w:t>
            </w:r>
            <w:r w:rsidR="00AF22AB">
              <w:t>Lent and Gilmore’s</w:t>
            </w:r>
            <w:r w:rsidR="00CC3D8F">
              <w:t xml:space="preserve"> (2013)</w:t>
            </w:r>
            <w:r w:rsidR="00AF22AB">
              <w:t xml:space="preserve"> </w:t>
            </w:r>
            <w:r w:rsidR="0031058A" w:rsidRPr="000A54D8">
              <w:rPr>
                <w:i/>
              </w:rPr>
              <w:t>Common Core CPR: What About Adolescents Who Stru</w:t>
            </w:r>
            <w:r w:rsidR="00903B3C">
              <w:rPr>
                <w:i/>
              </w:rPr>
              <w:t xml:space="preserve">ggle . . . </w:t>
            </w:r>
            <w:r w:rsidR="0031058A" w:rsidRPr="000A54D8">
              <w:rPr>
                <w:i/>
              </w:rPr>
              <w:t>or Just Don’t Care</w:t>
            </w:r>
            <w:r w:rsidR="00CC3D8F">
              <w:t>.</w:t>
            </w:r>
          </w:p>
        </w:tc>
      </w:tr>
      <w:tr w:rsidR="0031058A" w14:paraId="2053C7E0" w14:textId="77777777" w:rsidTr="00BB22EA">
        <w:tc>
          <w:tcPr>
            <w:tcW w:w="4008" w:type="dxa"/>
            <w:tcMar>
              <w:top w:w="100" w:type="dxa"/>
              <w:left w:w="100" w:type="dxa"/>
              <w:bottom w:w="100" w:type="dxa"/>
              <w:right w:w="100" w:type="dxa"/>
            </w:tcMar>
          </w:tcPr>
          <w:p w14:paraId="5777C95C" w14:textId="77777777" w:rsidR="0031058A" w:rsidRDefault="00021EC2" w:rsidP="00D004BF">
            <w:pPr>
              <w:widowControl w:val="0"/>
            </w:pPr>
            <w:r w:rsidRPr="00021EC2">
              <w:t>S</w:t>
            </w:r>
            <w:r w:rsidR="00D004BF" w:rsidRPr="00021EC2">
              <w:t>tudents</w:t>
            </w:r>
            <w:r>
              <w:t xml:space="preserve"> have different learning levels, styles, and interests; options that accommodate these can improve achievement.</w:t>
            </w:r>
          </w:p>
        </w:tc>
        <w:tc>
          <w:tcPr>
            <w:tcW w:w="6272" w:type="dxa"/>
            <w:tcMar>
              <w:top w:w="100" w:type="dxa"/>
              <w:left w:w="100" w:type="dxa"/>
              <w:bottom w:w="100" w:type="dxa"/>
              <w:right w:w="100" w:type="dxa"/>
            </w:tcMar>
          </w:tcPr>
          <w:p w14:paraId="7D8A0B70" w14:textId="5B5E3DC6" w:rsidR="0031058A" w:rsidRDefault="004912C3" w:rsidP="00BB22EA">
            <w:r>
              <w:t>Multiple means of e</w:t>
            </w:r>
            <w:r w:rsidR="0031058A">
              <w:t>ngagement</w:t>
            </w:r>
            <w:r>
              <w:t>:</w:t>
            </w:r>
          </w:p>
          <w:p w14:paraId="33E5B7B5" w14:textId="77777777" w:rsidR="00D004BF" w:rsidRDefault="00D004BF" w:rsidP="00BB22EA"/>
          <w:p w14:paraId="0EC56383" w14:textId="77777777" w:rsidR="0031058A" w:rsidRDefault="0031058A" w:rsidP="0031058A">
            <w:pPr>
              <w:numPr>
                <w:ilvl w:val="0"/>
                <w:numId w:val="32"/>
              </w:numPr>
              <w:ind w:hanging="360"/>
              <w:contextualSpacing/>
            </w:pPr>
            <w:r>
              <w:t xml:space="preserve">Provide options for </w:t>
            </w:r>
            <w:proofErr w:type="spellStart"/>
            <w:r>
              <w:t>self regulation</w:t>
            </w:r>
            <w:proofErr w:type="spellEnd"/>
            <w:r>
              <w:t xml:space="preserve"> - students gaining skills in </w:t>
            </w:r>
            <w:proofErr w:type="spellStart"/>
            <w:r>
              <w:t>self monitoring</w:t>
            </w:r>
            <w:proofErr w:type="spellEnd"/>
            <w:r>
              <w:t xml:space="preserve"> and to take charge of their own learning</w:t>
            </w:r>
            <w:r w:rsidR="00D004BF">
              <w:t>;</w:t>
            </w:r>
          </w:p>
          <w:p w14:paraId="45875A60" w14:textId="77777777" w:rsidR="0031058A" w:rsidRDefault="0031058A" w:rsidP="0031058A">
            <w:pPr>
              <w:numPr>
                <w:ilvl w:val="0"/>
                <w:numId w:val="39"/>
              </w:numPr>
              <w:ind w:hanging="360"/>
              <w:contextualSpacing/>
            </w:pPr>
            <w:r>
              <w:t xml:space="preserve">Provide options for sustaining effort and persistence - providing opportunities where students naturally work with their peers, focus on the task at hand and </w:t>
            </w:r>
            <w:r>
              <w:lastRenderedPageBreak/>
              <w:t xml:space="preserve">receive directive and supportive </w:t>
            </w:r>
            <w:r w:rsidR="00D004BF">
              <w:t>feedback from the instructor;</w:t>
            </w:r>
          </w:p>
          <w:p w14:paraId="74A30125" w14:textId="77777777" w:rsidR="0031058A" w:rsidRDefault="0031058A" w:rsidP="0031058A">
            <w:pPr>
              <w:numPr>
                <w:ilvl w:val="0"/>
                <w:numId w:val="39"/>
              </w:numPr>
              <w:ind w:hanging="360"/>
              <w:contextualSpacing/>
            </w:pPr>
            <w:r>
              <w:t>Provide options for recruiting interest - gaining student interest by tapping into who they are and to their interests</w:t>
            </w:r>
            <w:r w:rsidR="00D004BF">
              <w:t>.</w:t>
            </w:r>
          </w:p>
          <w:p w14:paraId="2C6FD457" w14:textId="77777777" w:rsidR="00D004BF" w:rsidRDefault="00D004BF" w:rsidP="00D004BF">
            <w:pPr>
              <w:ind w:left="720"/>
              <w:contextualSpacing/>
            </w:pPr>
          </w:p>
          <w:p w14:paraId="5931D6A9" w14:textId="77777777" w:rsidR="0031058A" w:rsidRDefault="0031058A" w:rsidP="00BB22EA">
            <w:r>
              <w:t xml:space="preserve">For more information on UDL go to the National Center on Universal Design for Learning - </w:t>
            </w:r>
            <w:hyperlink r:id="rId8">
              <w:r w:rsidRPr="000A54D8">
                <w:rPr>
                  <w:color w:val="1155CC"/>
                  <w:u w:val="single"/>
                </w:rPr>
                <w:t>http://www.udlcenter.org/</w:t>
              </w:r>
            </w:hyperlink>
            <w:r>
              <w:t xml:space="preserve"> </w:t>
            </w:r>
          </w:p>
          <w:p w14:paraId="6804EF0E" w14:textId="77777777" w:rsidR="0031058A" w:rsidRDefault="0031058A" w:rsidP="00BB22EA">
            <w:pPr>
              <w:widowControl w:val="0"/>
            </w:pPr>
          </w:p>
        </w:tc>
      </w:tr>
      <w:tr w:rsidR="0031058A" w14:paraId="1D1B34D1" w14:textId="77777777" w:rsidTr="00B8657B">
        <w:trPr>
          <w:trHeight w:val="3993"/>
        </w:trPr>
        <w:tc>
          <w:tcPr>
            <w:tcW w:w="4008" w:type="dxa"/>
            <w:tcMar>
              <w:top w:w="100" w:type="dxa"/>
              <w:left w:w="100" w:type="dxa"/>
              <w:bottom w:w="100" w:type="dxa"/>
              <w:right w:w="100" w:type="dxa"/>
            </w:tcMar>
          </w:tcPr>
          <w:p w14:paraId="4927A368" w14:textId="77777777" w:rsidR="00CB3223" w:rsidRDefault="001B6833" w:rsidP="00CB3223">
            <w:pPr>
              <w:widowControl w:val="0"/>
            </w:pPr>
            <w:r>
              <w:lastRenderedPageBreak/>
              <w:t>“W</w:t>
            </w:r>
            <w:r w:rsidR="00CB3223">
              <w:t xml:space="preserve">e often talk of expectations in terms of the behavioral actions and performance outcomes adults want from students. Our expectations </w:t>
            </w:r>
            <w:r w:rsidR="00CB3223" w:rsidRPr="000A54D8">
              <w:rPr>
                <w:b/>
              </w:rPr>
              <w:t xml:space="preserve">of </w:t>
            </w:r>
            <w:r w:rsidR="00CB3223">
              <w:t>students. The second kind of expectations operates on a deeper, more systemic, a</w:t>
            </w:r>
            <w:r>
              <w:t xml:space="preserve">nd ultimately more powerful level . . . [these are] </w:t>
            </w:r>
            <w:r w:rsidR="00CB3223">
              <w:t xml:space="preserve">working theories about the nature of teaching, learning, thinking, schools, or the organization itself. Our expectations </w:t>
            </w:r>
            <w:r w:rsidR="00CB3223" w:rsidRPr="000A54D8">
              <w:rPr>
                <w:b/>
              </w:rPr>
              <w:t xml:space="preserve">for </w:t>
            </w:r>
            <w:r w:rsidR="00CB3223">
              <w:t>stu</w:t>
            </w:r>
            <w:r w:rsidR="00681FB8">
              <w:t xml:space="preserve">dents.” </w:t>
            </w:r>
            <w:proofErr w:type="spellStart"/>
            <w:r w:rsidR="00681FB8">
              <w:t>Ritchhart</w:t>
            </w:r>
            <w:proofErr w:type="spellEnd"/>
            <w:r w:rsidR="00681FB8">
              <w:t>, 2015, p. 40)</w:t>
            </w:r>
          </w:p>
          <w:p w14:paraId="10B4AE1E" w14:textId="77777777" w:rsidR="0031058A" w:rsidRDefault="0031058A" w:rsidP="00BB22EA">
            <w:pPr>
              <w:widowControl w:val="0"/>
            </w:pPr>
          </w:p>
        </w:tc>
        <w:tc>
          <w:tcPr>
            <w:tcW w:w="6272" w:type="dxa"/>
            <w:tcMar>
              <w:top w:w="100" w:type="dxa"/>
              <w:left w:w="100" w:type="dxa"/>
              <w:bottom w:w="100" w:type="dxa"/>
              <w:right w:w="100" w:type="dxa"/>
            </w:tcMar>
          </w:tcPr>
          <w:p w14:paraId="7E88667F" w14:textId="08BAD8F2" w:rsidR="00CB3223" w:rsidRDefault="0031058A" w:rsidP="00F96F00">
            <w:pPr>
              <w:widowControl w:val="0"/>
              <w:contextualSpacing/>
            </w:pPr>
            <w:r>
              <w:t>Five belief sets that lay a f</w:t>
            </w:r>
            <w:r w:rsidR="00F96F00">
              <w:t xml:space="preserve">oundation for our expectations </w:t>
            </w:r>
            <w:r>
              <w:t>in learning group</w:t>
            </w:r>
            <w:r w:rsidR="00CB3223">
              <w:t>s (</w:t>
            </w:r>
            <w:proofErr w:type="spellStart"/>
            <w:r w:rsidR="00CB3223">
              <w:t>Ritchhart</w:t>
            </w:r>
            <w:proofErr w:type="spellEnd"/>
            <w:r w:rsidR="00CB3223">
              <w:t>, 2014, p. 42):</w:t>
            </w:r>
          </w:p>
          <w:p w14:paraId="51D11FC7" w14:textId="77777777" w:rsidR="00CB3223" w:rsidRDefault="00CB3223" w:rsidP="00CB3223">
            <w:pPr>
              <w:widowControl w:val="0"/>
            </w:pPr>
            <w:r>
              <w:t xml:space="preserve">                                     </w:t>
            </w:r>
          </w:p>
          <w:p w14:paraId="5EBD090E" w14:textId="77777777" w:rsidR="0031058A" w:rsidRDefault="0031058A" w:rsidP="00CB3223">
            <w:pPr>
              <w:pStyle w:val="ListParagraph"/>
              <w:widowControl w:val="0"/>
              <w:numPr>
                <w:ilvl w:val="0"/>
                <w:numId w:val="50"/>
              </w:numPr>
            </w:pPr>
            <w:r>
              <w:t>Focusing students on learning vs. the work</w:t>
            </w:r>
          </w:p>
          <w:p w14:paraId="15115048" w14:textId="77777777" w:rsidR="0031058A" w:rsidRDefault="0031058A" w:rsidP="00CB3223">
            <w:pPr>
              <w:pStyle w:val="ListParagraph"/>
              <w:widowControl w:val="0"/>
              <w:numPr>
                <w:ilvl w:val="0"/>
                <w:numId w:val="50"/>
              </w:numPr>
            </w:pPr>
            <w:r>
              <w:t>Teaching for understanding vs. knowledge</w:t>
            </w:r>
          </w:p>
          <w:p w14:paraId="544186BD" w14:textId="77777777" w:rsidR="0031058A" w:rsidRDefault="0031058A" w:rsidP="00CB3223">
            <w:pPr>
              <w:pStyle w:val="ListParagraph"/>
              <w:widowControl w:val="0"/>
              <w:numPr>
                <w:ilvl w:val="0"/>
                <w:numId w:val="50"/>
              </w:numPr>
            </w:pPr>
            <w:r>
              <w:t>Encouraging deep vs. surface learning strategies</w:t>
            </w:r>
          </w:p>
          <w:p w14:paraId="70DADD6B" w14:textId="77777777" w:rsidR="0031058A" w:rsidRDefault="0031058A" w:rsidP="00CB3223">
            <w:pPr>
              <w:pStyle w:val="ListParagraph"/>
              <w:widowControl w:val="0"/>
              <w:numPr>
                <w:ilvl w:val="0"/>
                <w:numId w:val="50"/>
              </w:numPr>
            </w:pPr>
            <w:r>
              <w:t>Promoting independence vs. dependence</w:t>
            </w:r>
          </w:p>
          <w:p w14:paraId="176D4D22" w14:textId="77777777" w:rsidR="0031058A" w:rsidRDefault="0031058A" w:rsidP="00CB3223">
            <w:pPr>
              <w:pStyle w:val="ListParagraph"/>
              <w:widowControl w:val="0"/>
              <w:numPr>
                <w:ilvl w:val="0"/>
                <w:numId w:val="50"/>
              </w:numPr>
            </w:pPr>
            <w:r>
              <w:t xml:space="preserve">Developing a growth mindset vs. a fixed mindset </w:t>
            </w:r>
          </w:p>
          <w:p w14:paraId="5734BD2F" w14:textId="77777777" w:rsidR="00CB3223" w:rsidRDefault="00CB3223" w:rsidP="00CB3223">
            <w:pPr>
              <w:widowControl w:val="0"/>
            </w:pPr>
            <w:r>
              <w:t xml:space="preserve">                                                       </w:t>
            </w:r>
            <w:proofErr w:type="spellStart"/>
            <w:r w:rsidR="001761DB">
              <w:t>Ritchhart</w:t>
            </w:r>
            <w:proofErr w:type="spellEnd"/>
            <w:r>
              <w:t xml:space="preserve"> (2015, p. 42)</w:t>
            </w:r>
          </w:p>
          <w:p w14:paraId="1D4A97E2" w14:textId="77777777" w:rsidR="00CB3223" w:rsidRDefault="00CB3223" w:rsidP="00BB22EA">
            <w:pPr>
              <w:widowControl w:val="0"/>
            </w:pPr>
          </w:p>
          <w:p w14:paraId="51B16A7B" w14:textId="77777777" w:rsidR="0031058A" w:rsidRDefault="0031058A" w:rsidP="00BB22EA">
            <w:pPr>
              <w:widowControl w:val="0"/>
            </w:pPr>
          </w:p>
          <w:p w14:paraId="1E4EBF10" w14:textId="77777777" w:rsidR="0031058A" w:rsidRDefault="0031058A" w:rsidP="00BB22EA">
            <w:pPr>
              <w:widowControl w:val="0"/>
            </w:pPr>
            <w:r>
              <w:t>For more information on cultures of thinking</w:t>
            </w:r>
            <w:r w:rsidR="00301B9A">
              <w:t>,</w:t>
            </w:r>
            <w:r>
              <w:t xml:space="preserve"> visit the website below:</w:t>
            </w:r>
          </w:p>
          <w:p w14:paraId="4E047C23" w14:textId="77777777" w:rsidR="0031058A" w:rsidRDefault="002D079E" w:rsidP="00BB22EA">
            <w:pPr>
              <w:widowControl w:val="0"/>
            </w:pPr>
            <w:hyperlink r:id="rId9">
              <w:r w:rsidR="0031058A" w:rsidRPr="000A54D8">
                <w:rPr>
                  <w:color w:val="1155CC"/>
                  <w:u w:val="single"/>
                </w:rPr>
                <w:t>http://www.ronritchhart.com/COT_Resources.html</w:t>
              </w:r>
            </w:hyperlink>
            <w:r w:rsidR="0031058A">
              <w:t xml:space="preserve"> </w:t>
            </w:r>
          </w:p>
        </w:tc>
      </w:tr>
      <w:tr w:rsidR="0031058A" w14:paraId="5C3F1724" w14:textId="77777777" w:rsidTr="00BB22EA">
        <w:tc>
          <w:tcPr>
            <w:tcW w:w="4008" w:type="dxa"/>
            <w:tcMar>
              <w:top w:w="100" w:type="dxa"/>
              <w:left w:w="100" w:type="dxa"/>
              <w:bottom w:w="100" w:type="dxa"/>
              <w:right w:w="100" w:type="dxa"/>
            </w:tcMar>
          </w:tcPr>
          <w:p w14:paraId="37C5F132" w14:textId="60E72EC1" w:rsidR="00301B9A" w:rsidRDefault="00BB30C6" w:rsidP="00301B9A">
            <w:r>
              <w:t xml:space="preserve">Educators should </w:t>
            </w:r>
            <w:r w:rsidR="00301B9A">
              <w:t>pay attention to the “student demotivation caused by, for example, public humiliation, devastating test results, or conflicts with educators or peers. For many demotivation has more impact than motivation. Such demotivation can directly affect commitment to the goals of learning, turn off the wish for and desire for feedback, and decrease involvement.” (Hattie, 2009, p. 48).</w:t>
            </w:r>
          </w:p>
          <w:p w14:paraId="3FC2D8A4" w14:textId="77777777" w:rsidR="0031058A" w:rsidRDefault="0031058A" w:rsidP="00301B9A">
            <w:pPr>
              <w:widowControl w:val="0"/>
            </w:pPr>
          </w:p>
        </w:tc>
        <w:tc>
          <w:tcPr>
            <w:tcW w:w="6272" w:type="dxa"/>
            <w:tcMar>
              <w:top w:w="100" w:type="dxa"/>
              <w:left w:w="100" w:type="dxa"/>
              <w:bottom w:w="100" w:type="dxa"/>
              <w:right w:w="100" w:type="dxa"/>
            </w:tcMar>
          </w:tcPr>
          <w:p w14:paraId="30FDDE60" w14:textId="77777777" w:rsidR="00301B9A" w:rsidRDefault="00CC7AF6" w:rsidP="00BB22EA">
            <w:r>
              <w:t>Nearly everyone has experienced one or more of these common demotivating factors in the classroom or workplace at one time or another</w:t>
            </w:r>
            <w:r w:rsidR="00B8657B">
              <w:t>:</w:t>
            </w:r>
          </w:p>
          <w:p w14:paraId="1648D7B4" w14:textId="77777777" w:rsidR="00B8657B" w:rsidRDefault="00B8657B" w:rsidP="00BB22EA"/>
          <w:p w14:paraId="0387CB2B" w14:textId="77777777" w:rsidR="00E863EF" w:rsidRDefault="00E863EF" w:rsidP="00F37BAD">
            <w:pPr>
              <w:pStyle w:val="ListParagraph"/>
              <w:numPr>
                <w:ilvl w:val="0"/>
                <w:numId w:val="51"/>
              </w:numPr>
            </w:pPr>
            <w:r>
              <w:t>Embarrassment</w:t>
            </w:r>
            <w:r w:rsidR="00F37BAD">
              <w:t xml:space="preserve"> or shame</w:t>
            </w:r>
          </w:p>
          <w:p w14:paraId="0B89DBA2" w14:textId="77777777" w:rsidR="00B8657B" w:rsidRDefault="00B8657B" w:rsidP="00B8657B">
            <w:pPr>
              <w:pStyle w:val="ListParagraph"/>
              <w:numPr>
                <w:ilvl w:val="0"/>
                <w:numId w:val="51"/>
              </w:numPr>
            </w:pPr>
            <w:r>
              <w:t>Confusion</w:t>
            </w:r>
          </w:p>
          <w:p w14:paraId="42BB935E" w14:textId="77777777" w:rsidR="00B8657B" w:rsidRDefault="00B8657B" w:rsidP="00B8657B">
            <w:pPr>
              <w:pStyle w:val="ListParagraph"/>
              <w:numPr>
                <w:ilvl w:val="0"/>
                <w:numId w:val="51"/>
              </w:numPr>
            </w:pPr>
            <w:r>
              <w:t>Repeated failure</w:t>
            </w:r>
          </w:p>
          <w:p w14:paraId="31115BDC" w14:textId="77777777" w:rsidR="00B8657B" w:rsidRDefault="00B8657B" w:rsidP="00B8657B">
            <w:pPr>
              <w:pStyle w:val="ListParagraph"/>
              <w:numPr>
                <w:ilvl w:val="0"/>
                <w:numId w:val="51"/>
              </w:numPr>
            </w:pPr>
            <w:r>
              <w:t>Invisibility</w:t>
            </w:r>
          </w:p>
          <w:p w14:paraId="01FDD12E" w14:textId="77777777" w:rsidR="00B8657B" w:rsidRDefault="00B8657B" w:rsidP="00B8657B">
            <w:pPr>
              <w:pStyle w:val="ListParagraph"/>
              <w:numPr>
                <w:ilvl w:val="0"/>
                <w:numId w:val="51"/>
              </w:numPr>
            </w:pPr>
            <w:r>
              <w:t>Alienation</w:t>
            </w:r>
          </w:p>
          <w:p w14:paraId="014E856A" w14:textId="77777777" w:rsidR="00F37BAD" w:rsidRDefault="00F37BAD" w:rsidP="00B8657B">
            <w:pPr>
              <w:pStyle w:val="ListParagraph"/>
              <w:numPr>
                <w:ilvl w:val="0"/>
                <w:numId w:val="51"/>
              </w:numPr>
            </w:pPr>
            <w:r>
              <w:t>Anxiety</w:t>
            </w:r>
          </w:p>
          <w:p w14:paraId="3C60F3B9" w14:textId="77777777" w:rsidR="00A96156" w:rsidRDefault="00A96156" w:rsidP="00B8657B">
            <w:pPr>
              <w:pStyle w:val="ListParagraph"/>
              <w:numPr>
                <w:ilvl w:val="0"/>
                <w:numId w:val="51"/>
              </w:numPr>
            </w:pPr>
            <w:r>
              <w:t>Boredom</w:t>
            </w:r>
          </w:p>
          <w:p w14:paraId="6E72E43A" w14:textId="77777777" w:rsidR="0031058A" w:rsidRDefault="0031058A" w:rsidP="00BB22EA">
            <w:pPr>
              <w:widowControl w:val="0"/>
            </w:pPr>
          </w:p>
          <w:p w14:paraId="48AA84F9" w14:textId="77777777" w:rsidR="004A7361" w:rsidRDefault="004A7361" w:rsidP="004A7361">
            <w:pPr>
              <w:widowControl w:val="0"/>
            </w:pPr>
            <w:r>
              <w:t xml:space="preserve">For a survey for teachers to self-assess their likelihood of helping motivate rather than demotivate students, download this file:  </w:t>
            </w:r>
            <w:hyperlink r:id="rId10" w:history="1">
              <w:r w:rsidRPr="000C7D63">
                <w:rPr>
                  <w:rStyle w:val="Hyperlink"/>
                </w:rPr>
                <w:t>file:///C:/Users/Ownr/Downloads/comp%20relationship.pdf</w:t>
              </w:r>
            </w:hyperlink>
          </w:p>
          <w:p w14:paraId="50BC20B1" w14:textId="77777777" w:rsidR="004A7361" w:rsidRDefault="004A7361" w:rsidP="004A7361">
            <w:pPr>
              <w:widowControl w:val="0"/>
            </w:pPr>
          </w:p>
        </w:tc>
      </w:tr>
    </w:tbl>
    <w:p w14:paraId="7B67AF0B" w14:textId="77777777" w:rsidR="0031058A" w:rsidRDefault="0031058A" w:rsidP="0031058A"/>
    <w:p w14:paraId="3003762A" w14:textId="77777777" w:rsidR="00DC5247" w:rsidRDefault="00DC5247" w:rsidP="0031058A"/>
    <w:p w14:paraId="1DB48A8E" w14:textId="77777777" w:rsidR="005A39F9" w:rsidRPr="006B2F62" w:rsidRDefault="005A39F9" w:rsidP="0031058A">
      <w:pPr>
        <w:rPr>
          <w:b/>
          <w:sz w:val="24"/>
          <w:szCs w:val="24"/>
        </w:rPr>
      </w:pPr>
      <w:bookmarkStart w:id="1" w:name="_GoBack"/>
      <w:r w:rsidRPr="006B2F62">
        <w:rPr>
          <w:b/>
          <w:sz w:val="24"/>
          <w:szCs w:val="24"/>
        </w:rPr>
        <w:t>What can classroom teachers do?</w:t>
      </w:r>
    </w:p>
    <w:bookmarkEnd w:id="1"/>
    <w:p w14:paraId="32342E5F" w14:textId="77777777" w:rsidR="005A39F9" w:rsidRDefault="005A39F9" w:rsidP="0031058A"/>
    <w:p w14:paraId="16E3C29D" w14:textId="77777777" w:rsidR="0077290B" w:rsidRDefault="000D6B11" w:rsidP="0031058A">
      <w:r>
        <w:t>Taking into account the possible demotivating effects of relatively poor performance, find ways to carry out the following methods of engaging and motivating students to learn:</w:t>
      </w:r>
    </w:p>
    <w:p w14:paraId="3AADBB2E" w14:textId="77777777" w:rsidR="000D6B11" w:rsidRDefault="000D6B11" w:rsidP="0031058A"/>
    <w:p w14:paraId="6008D2E5" w14:textId="77777777" w:rsidR="00BB30C6" w:rsidRDefault="000D6B11" w:rsidP="00BB30C6">
      <w:pPr>
        <w:pStyle w:val="ListParagraph"/>
        <w:widowControl w:val="0"/>
        <w:numPr>
          <w:ilvl w:val="0"/>
          <w:numId w:val="52"/>
        </w:numPr>
        <w:rPr>
          <w:color w:val="auto"/>
        </w:rPr>
      </w:pPr>
      <w:r w:rsidRPr="00BB30C6">
        <w:rPr>
          <w:color w:val="auto"/>
        </w:rPr>
        <w:t xml:space="preserve">Have students set goals and make predictions about what they will learn (based on learning targets) and assess their current level of knowledge and skills. </w:t>
      </w:r>
    </w:p>
    <w:p w14:paraId="14D416B5" w14:textId="77777777" w:rsidR="00BB30C6" w:rsidRDefault="000D6B11" w:rsidP="00BB30C6">
      <w:pPr>
        <w:pStyle w:val="ListParagraph"/>
        <w:widowControl w:val="0"/>
        <w:numPr>
          <w:ilvl w:val="0"/>
          <w:numId w:val="52"/>
        </w:numPr>
        <w:rPr>
          <w:color w:val="auto"/>
        </w:rPr>
      </w:pPr>
      <w:r w:rsidRPr="00BB30C6">
        <w:rPr>
          <w:color w:val="auto"/>
        </w:rPr>
        <w:lastRenderedPageBreak/>
        <w:t>They can make their learning progress visible by making charts and graphs of their performance on quizzes or assignments and by learning methods of measurement, such as word counting to track fluency.</w:t>
      </w:r>
      <w:r w:rsidR="00985F5A" w:rsidRPr="00BB30C6">
        <w:rPr>
          <w:color w:val="auto"/>
        </w:rPr>
        <w:t xml:space="preserve"> </w:t>
      </w:r>
    </w:p>
    <w:p w14:paraId="35F2ABC1" w14:textId="2777E995" w:rsidR="000D6B11" w:rsidRPr="00BB30C6" w:rsidRDefault="0031067E" w:rsidP="00BB30C6">
      <w:pPr>
        <w:pStyle w:val="ListParagraph"/>
        <w:widowControl w:val="0"/>
        <w:numPr>
          <w:ilvl w:val="0"/>
          <w:numId w:val="52"/>
        </w:numPr>
        <w:rPr>
          <w:color w:val="auto"/>
        </w:rPr>
      </w:pPr>
      <w:r w:rsidRPr="00BB30C6">
        <w:rPr>
          <w:color w:val="auto"/>
        </w:rPr>
        <w:t xml:space="preserve">Asking </w:t>
      </w:r>
      <w:r w:rsidR="001761DB" w:rsidRPr="00BB30C6">
        <w:rPr>
          <w:color w:val="auto"/>
        </w:rPr>
        <w:t>students</w:t>
      </w:r>
      <w:r w:rsidRPr="00BB30C6">
        <w:rPr>
          <w:color w:val="auto"/>
        </w:rPr>
        <w:t>’ opinions on how your instruction could be more beneficial to them can be a motivating factor, as it indicates that they have some control over what happens to them or, at least, that you value their opinion enough to ask.</w:t>
      </w:r>
    </w:p>
    <w:p w14:paraId="39B3CF00" w14:textId="77777777" w:rsidR="000D6B11" w:rsidRDefault="000D6B11" w:rsidP="000D6B11">
      <w:pPr>
        <w:widowControl w:val="0"/>
        <w:rPr>
          <w:color w:val="auto"/>
        </w:rPr>
      </w:pPr>
    </w:p>
    <w:p w14:paraId="4218FC35" w14:textId="77777777" w:rsidR="00950D6A" w:rsidRDefault="00985F5A" w:rsidP="00950D6A">
      <w:r>
        <w:t xml:space="preserve">For </w:t>
      </w:r>
      <w:r w:rsidR="00950D6A">
        <w:t xml:space="preserve">information </w:t>
      </w:r>
      <w:r>
        <w:t xml:space="preserve">on planning effective and engaging lessons, </w:t>
      </w:r>
      <w:r w:rsidR="00950D6A">
        <w:t xml:space="preserve">read </w:t>
      </w:r>
      <w:r w:rsidR="00950D6A">
        <w:rPr>
          <w:i/>
        </w:rPr>
        <w:t xml:space="preserve">15 Minutes </w:t>
      </w:r>
      <w:proofErr w:type="gramStart"/>
      <w:r w:rsidR="00950D6A">
        <w:rPr>
          <w:i/>
        </w:rPr>
        <w:t>To</w:t>
      </w:r>
      <w:proofErr w:type="gramEnd"/>
      <w:r w:rsidR="00950D6A">
        <w:rPr>
          <w:i/>
        </w:rPr>
        <w:t xml:space="preserve"> A Transformed Lesson; How to Have a Content Planning Conversation (</w:t>
      </w:r>
      <w:r w:rsidR="00950D6A">
        <w:t xml:space="preserve">Jon </w:t>
      </w:r>
      <w:proofErr w:type="spellStart"/>
      <w:r w:rsidR="00950D6A">
        <w:t>Saphier</w:t>
      </w:r>
      <w:proofErr w:type="spellEnd"/>
      <w:r w:rsidR="00950D6A">
        <w:t>)</w:t>
      </w:r>
      <w:r w:rsidR="00736FB3">
        <w:t>.</w:t>
      </w:r>
    </w:p>
    <w:p w14:paraId="5390427D" w14:textId="77777777" w:rsidR="00950D6A" w:rsidRDefault="002D079E" w:rsidP="00950D6A">
      <w:hyperlink r:id="rId11">
        <w:r w:rsidR="00950D6A">
          <w:rPr>
            <w:color w:val="1155CC"/>
            <w:u w:val="single"/>
          </w:rPr>
          <w:t>http://www.rbteach.com/sites/default/files/jons_15_minutes_to_a_transformed_lesson_jsdaug13.pdf</w:t>
        </w:r>
      </w:hyperlink>
    </w:p>
    <w:p w14:paraId="605388F4" w14:textId="77777777" w:rsidR="00950D6A" w:rsidRDefault="00950D6A" w:rsidP="00950D6A"/>
    <w:p w14:paraId="7FB9E6C8" w14:textId="77777777" w:rsidR="00950D6A" w:rsidRDefault="00950D6A" w:rsidP="00950D6A">
      <w:r>
        <w:rPr>
          <w:color w:val="0000FF"/>
        </w:rPr>
        <w:t>Video:</w:t>
      </w:r>
      <w:r>
        <w:t xml:space="preserve"> Watch a content</w:t>
      </w:r>
      <w:r w:rsidR="00985F5A">
        <w:t xml:space="preserve"> planning conference </w:t>
      </w:r>
      <w:r>
        <w:t>with science teachers who are members of a common planning time team (TBT - Teacher-Based Team).</w:t>
      </w:r>
      <w:r w:rsidR="00656A57">
        <w:t xml:space="preserve"> </w:t>
      </w:r>
      <w:hyperlink r:id="rId12">
        <w:r>
          <w:rPr>
            <w:color w:val="1155CC"/>
            <w:u w:val="single"/>
          </w:rPr>
          <w:t>http://www.rbteach.com/blogs/15-minutes-transformed-lesson</w:t>
        </w:r>
      </w:hyperlink>
    </w:p>
    <w:p w14:paraId="19D78750" w14:textId="77777777" w:rsidR="005E7A55" w:rsidRDefault="005E7A55">
      <w:bookmarkStart w:id="2" w:name="h.31y2ezqkfq8f" w:colFirst="0" w:colLast="0"/>
      <w:bookmarkStart w:id="3" w:name="h.s2apt3xicwyt" w:colFirst="0" w:colLast="0"/>
      <w:bookmarkStart w:id="4" w:name="h.gjdgxs" w:colFirst="0" w:colLast="0"/>
      <w:bookmarkEnd w:id="2"/>
      <w:bookmarkEnd w:id="3"/>
      <w:bookmarkEnd w:id="4"/>
    </w:p>
    <w:p w14:paraId="7C6EB6E4" w14:textId="77777777" w:rsidR="00667B27" w:rsidRPr="00656A57" w:rsidRDefault="00667B27" w:rsidP="00667B27">
      <w:pPr>
        <w:pStyle w:val="Heading1"/>
        <w:rPr>
          <w:color w:val="auto"/>
        </w:rPr>
      </w:pPr>
      <w:r>
        <w:rPr>
          <w:color w:val="auto"/>
        </w:rPr>
        <w:t>Engaging students through connections to college and career:</w:t>
      </w:r>
    </w:p>
    <w:p w14:paraId="3E6B36D3" w14:textId="77777777" w:rsidR="00667B27" w:rsidRDefault="002D079E" w:rsidP="00667B27">
      <w:hyperlink r:id="rId13"/>
    </w:p>
    <w:p w14:paraId="32230901" w14:textId="063F2E0F" w:rsidR="00667B27" w:rsidRDefault="00BB30C6" w:rsidP="00667B27">
      <w:bookmarkStart w:id="5" w:name="h.6hzzfh8zt4uq" w:colFirst="0" w:colLast="0"/>
      <w:bookmarkStart w:id="6" w:name="h.q98u729bxy76" w:colFirst="0" w:colLast="0"/>
      <w:bookmarkStart w:id="7" w:name="h.5bp8uaxksn6h" w:colFirst="0" w:colLast="0"/>
      <w:bookmarkEnd w:id="5"/>
      <w:bookmarkEnd w:id="6"/>
      <w:bookmarkEnd w:id="7"/>
      <w:r>
        <w:t xml:space="preserve">Some educators believe </w:t>
      </w:r>
      <w:r w:rsidR="00667B27">
        <w:t>that student success depends on more than just academic factors.</w:t>
      </w:r>
      <w:r w:rsidR="00667B27" w:rsidRPr="00B5175F">
        <w:t xml:space="preserve"> </w:t>
      </w:r>
      <w:r>
        <w:t xml:space="preserve"> From their perspective, o</w:t>
      </w:r>
      <w:r w:rsidR="00667B27">
        <w:t>ther factors are important</w:t>
      </w:r>
      <w:r>
        <w:t>, too, such as holding high expectations for one’s own performance, resilience</w:t>
      </w:r>
      <w:r w:rsidR="00667B27">
        <w:t>, interpersonal skills, and having an orientation toward</w:t>
      </w:r>
      <w:r>
        <w:t xml:space="preserve"> the future</w:t>
      </w:r>
      <w:r w:rsidR="00667B27">
        <w:t xml:space="preserve">. </w:t>
      </w:r>
      <w:bookmarkStart w:id="8" w:name="h.f8198kzczukb" w:colFirst="0" w:colLast="0"/>
      <w:bookmarkStart w:id="9" w:name="h.2rpxdbvsukh2" w:colFirst="0" w:colLast="0"/>
      <w:bookmarkEnd w:id="8"/>
      <w:bookmarkEnd w:id="9"/>
      <w:r w:rsidR="00667B27">
        <w:t>Research shows that</w:t>
      </w:r>
      <w:r>
        <w:t xml:space="preserve"> students who drop out of school often view school as irrelevant to their lives. Teachers can r</w:t>
      </w:r>
      <w:r w:rsidR="00667B27">
        <w:t>e-engage students by creating College and C</w:t>
      </w:r>
      <w:r>
        <w:t xml:space="preserve">areer Ready Connections in the </w:t>
      </w:r>
      <w:r w:rsidR="00667B27">
        <w:t>classroom. Resources in this section easily blend with Ohio’s New Learning Standards in English language arts, mathematics, science, social studies, fine arts, world languages, and more and are geared to preparing students for college and career readiness. The following resources offer helpful information related to many factors that are important in improving students’ motivation by</w:t>
      </w:r>
      <w:r>
        <w:t xml:space="preserve"> taking into consideration important </w:t>
      </w:r>
      <w:r w:rsidR="00667B27">
        <w:t>nonacademic factors.</w:t>
      </w:r>
    </w:p>
    <w:p w14:paraId="051D48BA" w14:textId="77777777" w:rsidR="00667B27" w:rsidRDefault="00667B27" w:rsidP="00667B27">
      <w:bookmarkStart w:id="10" w:name="h.hqt0wli2shr8" w:colFirst="0" w:colLast="0"/>
      <w:bookmarkEnd w:id="10"/>
    </w:p>
    <w:p w14:paraId="4F7BC77C" w14:textId="77777777" w:rsidR="00667B27" w:rsidRPr="006B2F62" w:rsidRDefault="00667B27" w:rsidP="00667B27">
      <w:pPr>
        <w:rPr>
          <w:b/>
          <w:sz w:val="24"/>
          <w:szCs w:val="24"/>
        </w:rPr>
      </w:pPr>
      <w:bookmarkStart w:id="11" w:name="h.p8fswm3utox7" w:colFirst="0" w:colLast="0"/>
      <w:bookmarkStart w:id="12" w:name="h.nuyeiqlv62t" w:colFirst="0" w:colLast="0"/>
      <w:bookmarkEnd w:id="11"/>
      <w:bookmarkEnd w:id="12"/>
      <w:r w:rsidRPr="006B2F62">
        <w:rPr>
          <w:b/>
          <w:sz w:val="24"/>
          <w:szCs w:val="24"/>
        </w:rPr>
        <w:t>Resources for College and Career Preparation</w:t>
      </w:r>
    </w:p>
    <w:p w14:paraId="5AA0B790" w14:textId="77777777" w:rsidR="00667B27" w:rsidRDefault="00667B27" w:rsidP="00667B27"/>
    <w:p w14:paraId="62AEEF25" w14:textId="77777777" w:rsidR="00667B27" w:rsidRDefault="00667B27" w:rsidP="00667B27">
      <w:r>
        <w:rPr>
          <w:b/>
        </w:rPr>
        <w:t xml:space="preserve">Nonacademic Skills Are Key to Success. But What Should We Call Them? </w:t>
      </w:r>
      <w:r w:rsidRPr="00832EB3">
        <w:t xml:space="preserve">– provides </w:t>
      </w:r>
      <w:r>
        <w:t xml:space="preserve">brief discussion of ways of talking and thinking about nonacademic skills and terms. </w:t>
      </w:r>
      <w:hyperlink r:id="rId14">
        <w:r>
          <w:rPr>
            <w:color w:val="1155CC"/>
            <w:u w:val="single"/>
          </w:rPr>
          <w:t>http://www.npr.org/sections/ed/2015/05/28/404684712/non-academic-skills-are-key-to-success-but-what-should-we-call-them</w:t>
        </w:r>
      </w:hyperlink>
      <w:r>
        <w:t xml:space="preserve"> </w:t>
      </w:r>
    </w:p>
    <w:p w14:paraId="6C19447E" w14:textId="77777777" w:rsidR="00667B27" w:rsidRDefault="00667B27" w:rsidP="00667B27">
      <w:bookmarkStart w:id="13" w:name="h.msieccrm7e7f" w:colFirst="0" w:colLast="0"/>
      <w:bookmarkEnd w:id="13"/>
      <w:r>
        <w:t xml:space="preserve">                              </w:t>
      </w:r>
    </w:p>
    <w:p w14:paraId="20657EC0" w14:textId="77777777" w:rsidR="00667B27" w:rsidRDefault="00667B27" w:rsidP="00667B27">
      <w:bookmarkStart w:id="14" w:name="h.94b6mytg0m1g" w:colFirst="0" w:colLast="0"/>
      <w:bookmarkEnd w:id="14"/>
      <w:r>
        <w:rPr>
          <w:b/>
        </w:rPr>
        <w:t>Ohio Resources for College and Career Planning</w:t>
      </w:r>
      <w:r>
        <w:t xml:space="preserve"> – offers resources specific to Ohio for college and career planning can be found at the following link:</w:t>
      </w:r>
    </w:p>
    <w:p w14:paraId="70BC51A8" w14:textId="77777777" w:rsidR="00667B27" w:rsidRDefault="002D079E" w:rsidP="00667B27">
      <w:hyperlink r:id="rId15">
        <w:r w:rsidR="00667B27">
          <w:rPr>
            <w:color w:val="1155CC"/>
            <w:u w:val="single"/>
          </w:rPr>
          <w:t>http://education.ohio.gov/Topics/Other-Resources/Family-and-Community-Engagement/Getting-Involved-with-your-Child-s-Learning/Ohio-Resources-for-College-and-Career-Planning</w:t>
        </w:r>
      </w:hyperlink>
    </w:p>
    <w:p w14:paraId="039585EF" w14:textId="77777777" w:rsidR="00667B27" w:rsidRDefault="00667B27" w:rsidP="00667B27">
      <w:bookmarkStart w:id="15" w:name="h.twxtd2wqsa58" w:colFirst="0" w:colLast="0"/>
      <w:bookmarkEnd w:id="15"/>
    </w:p>
    <w:p w14:paraId="1A3FC485" w14:textId="77777777" w:rsidR="00667B27" w:rsidRDefault="00667B27" w:rsidP="00667B27">
      <w:bookmarkStart w:id="16" w:name="h.xecmsc7jop76" w:colFirst="0" w:colLast="0"/>
      <w:bookmarkEnd w:id="16"/>
      <w:r>
        <w:rPr>
          <w:noProof/>
        </w:rPr>
        <w:drawing>
          <wp:anchor distT="114300" distB="114300" distL="114300" distR="114300" simplePos="0" relativeHeight="251656192" behindDoc="0" locked="0" layoutInCell="0" allowOverlap="0" wp14:anchorId="514FA776" wp14:editId="77D82B50">
            <wp:simplePos x="0" y="0"/>
            <wp:positionH relativeFrom="margin">
              <wp:posOffset>15875</wp:posOffset>
            </wp:positionH>
            <wp:positionV relativeFrom="paragraph">
              <wp:posOffset>0</wp:posOffset>
            </wp:positionV>
            <wp:extent cx="1233170" cy="1601470"/>
            <wp:effectExtent l="19050" t="0" r="5080" b="0"/>
            <wp:wrapSquare wrapText="bothSides"/>
            <wp:docPr id="2" name="image30.png" descr="Screen Shot 2015-05-27 at 11.49.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descr="Screen Shot 2015-05-27 at 11.49.41 AM.png"/>
                    <pic:cNvPicPr>
                      <a:picLocks noChangeAspect="1" noChangeArrowheads="1"/>
                    </pic:cNvPicPr>
                  </pic:nvPicPr>
                  <pic:blipFill>
                    <a:blip r:embed="rId16" cstate="print"/>
                    <a:srcRect/>
                    <a:stretch>
                      <a:fillRect/>
                    </a:stretch>
                  </pic:blipFill>
                  <pic:spPr bwMode="auto">
                    <a:xfrm>
                      <a:off x="0" y="0"/>
                      <a:ext cx="1233170" cy="1601470"/>
                    </a:xfrm>
                    <a:prstGeom prst="rect">
                      <a:avLst/>
                    </a:prstGeom>
                    <a:noFill/>
                    <a:ln w="9525">
                      <a:noFill/>
                      <a:miter lim="800000"/>
                      <a:headEnd/>
                      <a:tailEnd/>
                    </a:ln>
                  </pic:spPr>
                </pic:pic>
              </a:graphicData>
            </a:graphic>
          </wp:anchor>
        </w:drawing>
      </w:r>
    </w:p>
    <w:p w14:paraId="1B62D99E" w14:textId="77777777" w:rsidR="00667B27" w:rsidRDefault="00667B27" w:rsidP="00667B27">
      <w:bookmarkStart w:id="17" w:name="h.cnnoxfletisp" w:colFirst="0" w:colLast="0"/>
      <w:bookmarkEnd w:id="17"/>
      <w:r>
        <w:rPr>
          <w:b/>
        </w:rPr>
        <w:t>Career Connections</w:t>
      </w:r>
      <w:r>
        <w:t xml:space="preserve"> guide for educators - provides guidelines and resources for the incorporation of career awareness, career exploration and career planning into curriculum. </w:t>
      </w:r>
    </w:p>
    <w:p w14:paraId="3A4337D3" w14:textId="77777777" w:rsidR="00667B27" w:rsidRDefault="00667B27" w:rsidP="00667B27">
      <w:bookmarkStart w:id="18" w:name="h.4ct6r0nrklh6" w:colFirst="0" w:colLast="0"/>
      <w:bookmarkEnd w:id="18"/>
    </w:p>
    <w:bookmarkStart w:id="19" w:name="h.gkihwgqqv3pt" w:colFirst="0" w:colLast="0"/>
    <w:bookmarkStart w:id="20" w:name="h.c9wj1258qvu" w:colFirst="0" w:colLast="0"/>
    <w:bookmarkEnd w:id="19"/>
    <w:bookmarkEnd w:id="20"/>
    <w:p w14:paraId="3FC160AF" w14:textId="77777777" w:rsidR="00667B27" w:rsidRDefault="007533E6" w:rsidP="00667B27">
      <w:r>
        <w:fldChar w:fldCharType="begin"/>
      </w:r>
      <w:r w:rsidR="00667B27">
        <w:instrText xml:space="preserve"> HYPERLINK "http://education.ohio.gov/getattachment/Topics/Career-Tech/Career-Connections/Resources-for-Teachers/Career-Connections-Guide-Teacher_4-2014.pdf.aspx" \h </w:instrText>
      </w:r>
      <w:r>
        <w:fldChar w:fldCharType="separate"/>
      </w:r>
      <w:r w:rsidR="00667B27">
        <w:rPr>
          <w:color w:val="1155CC"/>
          <w:u w:val="single"/>
        </w:rPr>
        <w:t>http://education.ohio.gov/getattachment/Topics/Career-Tech/Career-Connections/Resources-for-</w:t>
      </w:r>
      <w:r>
        <w:rPr>
          <w:color w:val="1155CC"/>
          <w:u w:val="single"/>
        </w:rPr>
        <w:fldChar w:fldCharType="end"/>
      </w:r>
      <w:hyperlink r:id="rId17">
        <w:r w:rsidR="00667B27">
          <w:rPr>
            <w:color w:val="1155CC"/>
            <w:u w:val="single"/>
          </w:rPr>
          <w:t>educators</w:t>
        </w:r>
      </w:hyperlink>
      <w:hyperlink r:id="rId18">
        <w:r w:rsidR="00667B27">
          <w:rPr>
            <w:color w:val="1155CC"/>
            <w:u w:val="single"/>
          </w:rPr>
          <w:t>/Career-Connections-Guide-Teacher_4-2014.pdf.aspx</w:t>
        </w:r>
      </w:hyperlink>
    </w:p>
    <w:p w14:paraId="78A6FAE7" w14:textId="77777777" w:rsidR="00667B27" w:rsidRDefault="00667B27" w:rsidP="00667B27">
      <w:bookmarkStart w:id="21" w:name="h.yldrp7ymm4im" w:colFirst="0" w:colLast="0"/>
      <w:bookmarkEnd w:id="21"/>
    </w:p>
    <w:p w14:paraId="38F46E3F" w14:textId="77777777" w:rsidR="00667B27" w:rsidRDefault="00667B27" w:rsidP="00667B27">
      <w:bookmarkStart w:id="22" w:name="h.g6rkxmjvdyqq" w:colFirst="0" w:colLast="0"/>
      <w:bookmarkEnd w:id="22"/>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4364A52" w14:textId="77777777" w:rsidR="00667B27" w:rsidRDefault="00667B27" w:rsidP="00667B27">
      <w:r>
        <w:rPr>
          <w:noProof/>
        </w:rPr>
        <w:lastRenderedPageBreak/>
        <w:drawing>
          <wp:anchor distT="114300" distB="114300" distL="114300" distR="114300" simplePos="0" relativeHeight="251657216" behindDoc="0" locked="0" layoutInCell="0" allowOverlap="0" wp14:anchorId="3B0286E9" wp14:editId="6AFE7361">
            <wp:simplePos x="0" y="0"/>
            <wp:positionH relativeFrom="margin">
              <wp:posOffset>116840</wp:posOffset>
            </wp:positionH>
            <wp:positionV relativeFrom="paragraph">
              <wp:posOffset>68580</wp:posOffset>
            </wp:positionV>
            <wp:extent cx="1184275" cy="1528445"/>
            <wp:effectExtent l="19050" t="0" r="0" b="0"/>
            <wp:wrapSquare wrapText="bothSides"/>
            <wp:docPr id="3" name="image43.png" descr="Screen Shot 2015-05-27 at 11.53.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descr="Screen Shot 2015-05-27 at 11.53.56 AM.png"/>
                    <pic:cNvPicPr>
                      <a:picLocks noChangeAspect="1" noChangeArrowheads="1"/>
                    </pic:cNvPicPr>
                  </pic:nvPicPr>
                  <pic:blipFill>
                    <a:blip r:embed="rId19" cstate="print"/>
                    <a:srcRect/>
                    <a:stretch>
                      <a:fillRect/>
                    </a:stretch>
                  </pic:blipFill>
                  <pic:spPr bwMode="auto">
                    <a:xfrm>
                      <a:off x="0" y="0"/>
                      <a:ext cx="1184275" cy="1528445"/>
                    </a:xfrm>
                    <a:prstGeom prst="rect">
                      <a:avLst/>
                    </a:prstGeom>
                    <a:noFill/>
                    <a:ln w="9525">
                      <a:noFill/>
                      <a:miter lim="800000"/>
                      <a:headEnd/>
                      <a:tailEnd/>
                    </a:ln>
                  </pic:spPr>
                </pic:pic>
              </a:graphicData>
            </a:graphic>
          </wp:anchor>
        </w:drawing>
      </w:r>
      <w:r>
        <w:rPr>
          <w:b/>
        </w:rPr>
        <w:t>Quick Guide to Career Connections</w:t>
      </w:r>
      <w:r>
        <w:t xml:space="preserve"> </w:t>
      </w:r>
      <w:r w:rsidR="00E11B33">
        <w:t>– contains</w:t>
      </w:r>
      <w:r>
        <w:t xml:space="preserve"> Career Connection Learning Strategies to help educators connect student learning to future work. There are examples of how the model curriculum for Ohio’s New Learning Standards incorporates strategies beginning in kindergarten through high school:</w:t>
      </w:r>
    </w:p>
    <w:p w14:paraId="01CDE0B1" w14:textId="77777777" w:rsidR="00667B27" w:rsidRDefault="00667B27" w:rsidP="00667B27">
      <w:bookmarkStart w:id="23" w:name="h.psscmahgiige" w:colFirst="0" w:colLast="0"/>
      <w:bookmarkEnd w:id="23"/>
    </w:p>
    <w:bookmarkStart w:id="24" w:name="h.c0gxwzkf9p8j" w:colFirst="0" w:colLast="0"/>
    <w:bookmarkStart w:id="25" w:name="h.pd2m2aa8fds5" w:colFirst="0" w:colLast="0"/>
    <w:bookmarkEnd w:id="24"/>
    <w:bookmarkEnd w:id="25"/>
    <w:p w14:paraId="5231A2EB" w14:textId="77777777" w:rsidR="00667B27" w:rsidRDefault="007533E6" w:rsidP="00667B27">
      <w:r>
        <w:fldChar w:fldCharType="begin"/>
      </w:r>
      <w:r w:rsidR="00667B27">
        <w:instrText xml:space="preserve"> HYPERLINK "http://education.ohio.gov/getattachment/Topics/Career-Tech/Career-Connections/Resources-for-Teachers/CCLSQuickGuide_Oct-2013.pdf.aspx" \h </w:instrText>
      </w:r>
      <w:r>
        <w:fldChar w:fldCharType="separate"/>
      </w:r>
      <w:r w:rsidR="00667B27">
        <w:rPr>
          <w:color w:val="1155CC"/>
          <w:u w:val="single"/>
        </w:rPr>
        <w:t>http://education.ohio.gov/getattachment/Topics/Career-Tech/Career-Connections/Resources-for-</w:t>
      </w:r>
      <w:r>
        <w:rPr>
          <w:color w:val="1155CC"/>
          <w:u w:val="single"/>
        </w:rPr>
        <w:fldChar w:fldCharType="end"/>
      </w:r>
      <w:hyperlink r:id="rId20">
        <w:r w:rsidR="00667B27">
          <w:rPr>
            <w:color w:val="1155CC"/>
            <w:u w:val="single"/>
          </w:rPr>
          <w:t>educators</w:t>
        </w:r>
      </w:hyperlink>
      <w:hyperlink r:id="rId21">
        <w:r w:rsidR="00667B27">
          <w:rPr>
            <w:color w:val="1155CC"/>
            <w:u w:val="single"/>
          </w:rPr>
          <w:t>/CCLSQuickGuide_Oct-2013.pdf.aspx</w:t>
        </w:r>
      </w:hyperlink>
      <w:r w:rsidR="00667B27">
        <w:t xml:space="preserve"> </w:t>
      </w:r>
    </w:p>
    <w:p w14:paraId="5543E930" w14:textId="77777777" w:rsidR="00667B27" w:rsidRDefault="00667B27" w:rsidP="00667B27">
      <w:bookmarkStart w:id="26" w:name="h.u7igfstms56h" w:colFirst="0" w:colLast="0"/>
      <w:bookmarkEnd w:id="26"/>
    </w:p>
    <w:p w14:paraId="2955C2C9" w14:textId="77777777" w:rsidR="00667B27" w:rsidRDefault="00667B27" w:rsidP="00667B27">
      <w:bookmarkStart w:id="27" w:name="h.efr4v43wjp8s" w:colFirst="0" w:colLast="0"/>
      <w:bookmarkEnd w:id="27"/>
      <w:r>
        <w:rPr>
          <w:b/>
        </w:rPr>
        <w:t>Curriculum Toolbox</w:t>
      </w:r>
      <w:r>
        <w:t xml:space="preserve">- located on </w:t>
      </w:r>
      <w:proofErr w:type="spellStart"/>
      <w:r>
        <w:t>INFOhio</w:t>
      </w:r>
      <w:proofErr w:type="spellEnd"/>
      <w:r>
        <w:t>. It has many resources that support educators and students in the preparation for college/careers:</w:t>
      </w:r>
      <w:r>
        <w:rPr>
          <w:noProof/>
        </w:rPr>
        <w:drawing>
          <wp:anchor distT="114300" distB="114300" distL="114300" distR="114300" simplePos="0" relativeHeight="251658240" behindDoc="0" locked="0" layoutInCell="0" allowOverlap="0" wp14:anchorId="3E9D4F2B" wp14:editId="33F2F312">
            <wp:simplePos x="0" y="0"/>
            <wp:positionH relativeFrom="margin">
              <wp:posOffset>-190500</wp:posOffset>
            </wp:positionH>
            <wp:positionV relativeFrom="paragraph">
              <wp:posOffset>0</wp:posOffset>
            </wp:positionV>
            <wp:extent cx="2091055" cy="648335"/>
            <wp:effectExtent l="19050" t="0" r="4445" b="0"/>
            <wp:wrapSquare wrapText="bothSides"/>
            <wp:docPr id="4" name="image42.png" descr="Screen Shot 2015-05-27 at 11.58.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descr="Screen Shot 2015-05-27 at 11.58.46 AM.png"/>
                    <pic:cNvPicPr>
                      <a:picLocks noChangeAspect="1" noChangeArrowheads="1"/>
                    </pic:cNvPicPr>
                  </pic:nvPicPr>
                  <pic:blipFill>
                    <a:blip r:embed="rId22" cstate="print"/>
                    <a:srcRect/>
                    <a:stretch>
                      <a:fillRect/>
                    </a:stretch>
                  </pic:blipFill>
                  <pic:spPr bwMode="auto">
                    <a:xfrm>
                      <a:off x="0" y="0"/>
                      <a:ext cx="2091055" cy="648335"/>
                    </a:xfrm>
                    <a:prstGeom prst="rect">
                      <a:avLst/>
                    </a:prstGeom>
                    <a:noFill/>
                    <a:ln w="9525">
                      <a:noFill/>
                      <a:miter lim="800000"/>
                      <a:headEnd/>
                      <a:tailEnd/>
                    </a:ln>
                  </pic:spPr>
                </pic:pic>
              </a:graphicData>
            </a:graphic>
          </wp:anchor>
        </w:drawing>
      </w:r>
    </w:p>
    <w:p w14:paraId="5A1E6585" w14:textId="77777777" w:rsidR="00667B27" w:rsidRDefault="00667B27" w:rsidP="00667B27">
      <w:bookmarkStart w:id="28" w:name="h.wf8worussf8f" w:colFirst="0" w:colLast="0"/>
      <w:bookmarkEnd w:id="28"/>
    </w:p>
    <w:p w14:paraId="5B298A9D" w14:textId="77777777" w:rsidR="00667B27" w:rsidRDefault="002D079E" w:rsidP="00667B27">
      <w:hyperlink r:id="rId23">
        <w:r w:rsidR="00667B27">
          <w:rPr>
            <w:color w:val="1155CC"/>
            <w:u w:val="single"/>
          </w:rPr>
          <w:t>https://www.infohio.org/educators/eptools/curriculum-toolbox</w:t>
        </w:r>
      </w:hyperlink>
    </w:p>
    <w:p w14:paraId="63B78711" w14:textId="77777777" w:rsidR="00667B27" w:rsidRDefault="00667B27" w:rsidP="00667B27">
      <w:bookmarkStart w:id="29" w:name="h.2nv0abepovqh" w:colFirst="0" w:colLast="0"/>
      <w:bookmarkEnd w:id="29"/>
    </w:p>
    <w:p w14:paraId="4110D8A0" w14:textId="77777777" w:rsidR="00667B27" w:rsidRDefault="00667B27" w:rsidP="00667B27">
      <w:pPr>
        <w:rPr>
          <w:b/>
        </w:rPr>
      </w:pPr>
    </w:p>
    <w:p w14:paraId="3E535555" w14:textId="77777777" w:rsidR="00667B27" w:rsidRDefault="00667B27" w:rsidP="00667B27">
      <w:r>
        <w:rPr>
          <w:b/>
        </w:rPr>
        <w:t xml:space="preserve">Career Connections Framework and Guides </w:t>
      </w:r>
      <w:r>
        <w:t>- provides an overview to school districts for developing comprehensive plans. A school district Career Connections plan includes strategies across grades K-12 that prepare all students for their future successes. The guides offer grade-level strategies to educators, families and community members for connecting learning with careers:</w:t>
      </w:r>
    </w:p>
    <w:bookmarkStart w:id="30" w:name="h.u87mcam839kb" w:colFirst="0" w:colLast="0"/>
    <w:bookmarkEnd w:id="30"/>
    <w:p w14:paraId="1DFD643D" w14:textId="77777777" w:rsidR="00667B27" w:rsidRDefault="007533E6" w:rsidP="00667B27">
      <w:r>
        <w:fldChar w:fldCharType="begin"/>
      </w:r>
      <w:r w:rsidR="00667B27">
        <w:instrText xml:space="preserve"> HYPERLINK "http://education.ohio.gov/Topics/Career-Tech/Career-Connections" \h </w:instrText>
      </w:r>
      <w:r>
        <w:fldChar w:fldCharType="separate"/>
      </w:r>
      <w:r w:rsidR="00667B27">
        <w:rPr>
          <w:color w:val="1155CC"/>
          <w:u w:val="single"/>
        </w:rPr>
        <w:t>http://education.ohio.gov/Topics/Career-Tech/Career-Connections</w:t>
      </w:r>
      <w:r>
        <w:rPr>
          <w:color w:val="1155CC"/>
          <w:u w:val="single"/>
        </w:rPr>
        <w:fldChar w:fldCharType="end"/>
      </w:r>
    </w:p>
    <w:p w14:paraId="1CFB4125" w14:textId="77777777" w:rsidR="00667B27" w:rsidRDefault="00667B27" w:rsidP="00667B27">
      <w:pPr>
        <w:spacing w:before="100" w:after="100"/>
      </w:pPr>
    </w:p>
    <w:p w14:paraId="6DFED8C5" w14:textId="5E36BCB5" w:rsidR="00667B27" w:rsidRPr="004E27DA" w:rsidRDefault="00667B27" w:rsidP="00667B27">
      <w:pPr>
        <w:widowControl w:val="0"/>
        <w:rPr>
          <w:sz w:val="24"/>
          <w:szCs w:val="24"/>
        </w:rPr>
      </w:pPr>
      <w:bookmarkStart w:id="31" w:name="h.ubctjsrhpsd" w:colFirst="0" w:colLast="0"/>
      <w:bookmarkEnd w:id="31"/>
      <w:r>
        <w:rPr>
          <w:b/>
          <w:sz w:val="24"/>
          <w:szCs w:val="24"/>
        </w:rPr>
        <w:t xml:space="preserve">Additional </w:t>
      </w:r>
      <w:r w:rsidR="006B2F62">
        <w:rPr>
          <w:b/>
          <w:sz w:val="24"/>
          <w:szCs w:val="24"/>
        </w:rPr>
        <w:t>r</w:t>
      </w:r>
      <w:r w:rsidRPr="004E27DA">
        <w:rPr>
          <w:b/>
          <w:sz w:val="24"/>
          <w:szCs w:val="24"/>
        </w:rPr>
        <w:t xml:space="preserve">esources to </w:t>
      </w:r>
      <w:r>
        <w:rPr>
          <w:b/>
          <w:sz w:val="24"/>
          <w:szCs w:val="24"/>
        </w:rPr>
        <w:t xml:space="preserve">help you </w:t>
      </w:r>
      <w:r w:rsidRPr="004E27DA">
        <w:rPr>
          <w:b/>
          <w:sz w:val="24"/>
          <w:szCs w:val="24"/>
        </w:rPr>
        <w:t>engage and motivate your students</w:t>
      </w:r>
      <w:r>
        <w:rPr>
          <w:b/>
          <w:sz w:val="24"/>
          <w:szCs w:val="24"/>
        </w:rPr>
        <w:t>:</w:t>
      </w:r>
    </w:p>
    <w:p w14:paraId="64CEDD79" w14:textId="77777777" w:rsidR="00667B27" w:rsidRDefault="00667B27" w:rsidP="00667B27">
      <w:pPr>
        <w:widowControl w:val="0"/>
      </w:pPr>
    </w:p>
    <w:p w14:paraId="6F1357FA" w14:textId="77777777" w:rsidR="00667B27" w:rsidRDefault="00667B27" w:rsidP="00667B27">
      <w:pPr>
        <w:widowControl w:val="0"/>
      </w:pPr>
      <w:r>
        <w:t>Ten Simple Strategies for Re-</w:t>
      </w:r>
      <w:proofErr w:type="gramStart"/>
      <w:r>
        <w:t>engaging</w:t>
      </w:r>
      <w:proofErr w:type="gramEnd"/>
      <w:r>
        <w:t xml:space="preserve"> Students from </w:t>
      </w:r>
      <w:proofErr w:type="spellStart"/>
      <w:r>
        <w:t>Edutopia</w:t>
      </w:r>
      <w:proofErr w:type="spellEnd"/>
    </w:p>
    <w:p w14:paraId="5422F6AC" w14:textId="77777777" w:rsidR="00667B27" w:rsidRDefault="002D079E" w:rsidP="00667B27">
      <w:pPr>
        <w:widowControl w:val="0"/>
      </w:pPr>
      <w:hyperlink r:id="rId24">
        <w:r w:rsidR="00667B27" w:rsidRPr="000A54D8">
          <w:rPr>
            <w:color w:val="1155CC"/>
            <w:u w:val="single"/>
          </w:rPr>
          <w:t>http://www.edutopia.org/blog/reengaging-students-andrew-marcinek</w:t>
        </w:r>
      </w:hyperlink>
    </w:p>
    <w:p w14:paraId="5C5E1134" w14:textId="77777777" w:rsidR="00667B27" w:rsidRDefault="00667B27" w:rsidP="00667B27">
      <w:pPr>
        <w:widowControl w:val="0"/>
      </w:pPr>
      <w:r>
        <w:t xml:space="preserve"> </w:t>
      </w:r>
    </w:p>
    <w:p w14:paraId="1FC6E73D" w14:textId="77777777" w:rsidR="00667B27" w:rsidRDefault="00667B27" w:rsidP="00667B27">
      <w:pPr>
        <w:widowControl w:val="0"/>
      </w:pPr>
      <w:r>
        <w:t>21 Simple Ideas to Improve Student Motivation</w:t>
      </w:r>
    </w:p>
    <w:p w14:paraId="2CA1BF7E" w14:textId="77777777" w:rsidR="00667B27" w:rsidRDefault="002D079E" w:rsidP="00667B27">
      <w:pPr>
        <w:widowControl w:val="0"/>
      </w:pPr>
      <w:hyperlink r:id="rId25">
        <w:r w:rsidR="00667B27" w:rsidRPr="000A54D8">
          <w:rPr>
            <w:color w:val="1155CC"/>
            <w:u w:val="single"/>
          </w:rPr>
          <w:t>http://www.teachthought.com/teaching/21-simple-ideas-to-improve-student-motivatio/</w:t>
        </w:r>
      </w:hyperlink>
    </w:p>
    <w:p w14:paraId="543BFE51" w14:textId="77777777" w:rsidR="00667B27" w:rsidRDefault="00667B27" w:rsidP="00667B27">
      <w:pPr>
        <w:widowControl w:val="0"/>
      </w:pPr>
      <w:r>
        <w:t xml:space="preserve"> </w:t>
      </w:r>
    </w:p>
    <w:p w14:paraId="1C985673" w14:textId="77777777" w:rsidR="00667B27" w:rsidRDefault="00667B27" w:rsidP="00667B27">
      <w:pPr>
        <w:widowControl w:val="0"/>
      </w:pPr>
      <w:r>
        <w:t>Using Engagement Strategies to Facilitate C</w:t>
      </w:r>
      <w:r w:rsidR="00E11B33">
        <w:t xml:space="preserve">hildren’s Learning and Success, </w:t>
      </w:r>
      <w:r>
        <w:t xml:space="preserve">by Judy </w:t>
      </w:r>
      <w:proofErr w:type="spellStart"/>
      <w:r>
        <w:t>Jublon</w:t>
      </w:r>
      <w:proofErr w:type="spellEnd"/>
      <w:r>
        <w:t xml:space="preserve"> and Michael Wilkinson, 2006.</w:t>
      </w:r>
    </w:p>
    <w:p w14:paraId="1B393845" w14:textId="77777777" w:rsidR="00667B27" w:rsidRDefault="002D079E" w:rsidP="00667B27">
      <w:pPr>
        <w:widowControl w:val="0"/>
      </w:pPr>
      <w:hyperlink r:id="rId26">
        <w:r w:rsidR="00667B27" w:rsidRPr="000A54D8">
          <w:rPr>
            <w:color w:val="1155CC"/>
            <w:u w:val="single"/>
          </w:rPr>
          <w:t>https://www.naeyc.org/files/yc/file/200603/JablonBTJ.pdf</w:t>
        </w:r>
      </w:hyperlink>
    </w:p>
    <w:p w14:paraId="7D307545" w14:textId="77777777" w:rsidR="00667B27" w:rsidRDefault="00667B27" w:rsidP="00667B27">
      <w:pPr>
        <w:widowControl w:val="0"/>
      </w:pPr>
    </w:p>
    <w:p w14:paraId="470FDFD6" w14:textId="77777777" w:rsidR="00667B27" w:rsidRDefault="00667B27" w:rsidP="00667B27">
      <w:pPr>
        <w:widowControl w:val="0"/>
      </w:pPr>
      <w:r>
        <w:t>Brain based learning resources</w:t>
      </w:r>
    </w:p>
    <w:p w14:paraId="470AF3AD" w14:textId="77777777" w:rsidR="00667B27" w:rsidRDefault="002D079E" w:rsidP="00667B27">
      <w:pPr>
        <w:widowControl w:val="0"/>
      </w:pPr>
      <w:hyperlink r:id="rId27">
        <w:r w:rsidR="00667B27" w:rsidRPr="000A54D8">
          <w:rPr>
            <w:color w:val="1155CC"/>
            <w:u w:val="single"/>
          </w:rPr>
          <w:t>http://www.edutopia.org/article/brain-based-learning-resources</w:t>
        </w:r>
      </w:hyperlink>
    </w:p>
    <w:p w14:paraId="0A331303" w14:textId="77777777" w:rsidR="00667B27" w:rsidRDefault="00667B27" w:rsidP="00667B27">
      <w:bookmarkStart w:id="32" w:name="h.7j9l10fb21z3" w:colFirst="0" w:colLast="0"/>
      <w:bookmarkStart w:id="33" w:name="h.ahm6xp1rcia9" w:colFirst="0" w:colLast="0"/>
      <w:bookmarkStart w:id="34" w:name="h.my59q37u5t4s" w:colFirst="0" w:colLast="0"/>
      <w:bookmarkStart w:id="35" w:name="h.cb6fi139vu58" w:colFirst="0" w:colLast="0"/>
      <w:bookmarkStart w:id="36" w:name="_Toc424065763"/>
      <w:bookmarkEnd w:id="32"/>
      <w:bookmarkEnd w:id="33"/>
      <w:bookmarkEnd w:id="34"/>
      <w:bookmarkEnd w:id="35"/>
    </w:p>
    <w:bookmarkEnd w:id="36"/>
    <w:p w14:paraId="646D016D" w14:textId="77777777" w:rsidR="00667B27" w:rsidRDefault="00667B27"/>
    <w:p w14:paraId="44DC9A4C" w14:textId="77777777" w:rsidR="009D24CC" w:rsidRPr="006B2F62" w:rsidRDefault="009D24CC" w:rsidP="009D24CC">
      <w:pPr>
        <w:rPr>
          <w:b/>
          <w:sz w:val="24"/>
          <w:szCs w:val="24"/>
        </w:rPr>
      </w:pPr>
      <w:r w:rsidRPr="006B2F62">
        <w:rPr>
          <w:b/>
          <w:sz w:val="24"/>
          <w:szCs w:val="24"/>
        </w:rPr>
        <w:t>References</w:t>
      </w:r>
    </w:p>
    <w:p w14:paraId="5E183E6F" w14:textId="77777777" w:rsidR="009D24CC" w:rsidRPr="00B90056" w:rsidRDefault="009D24CC" w:rsidP="009D24CC">
      <w:pPr>
        <w:rPr>
          <w:b/>
        </w:rPr>
      </w:pPr>
    </w:p>
    <w:p w14:paraId="63200695" w14:textId="77777777" w:rsidR="009D24CC" w:rsidRDefault="009D24CC" w:rsidP="009D24CC">
      <w:pPr>
        <w:ind w:left="720" w:hanging="720"/>
        <w:rPr>
          <w:color w:val="333333"/>
        </w:rPr>
      </w:pPr>
      <w:r>
        <w:rPr>
          <w:color w:val="333333"/>
        </w:rPr>
        <w:t xml:space="preserve">Hattie, J. (2009). </w:t>
      </w:r>
      <w:r>
        <w:rPr>
          <w:i/>
          <w:color w:val="333333"/>
        </w:rPr>
        <w:t>Visible Learning: A synthesis of over 800 meta-analyses relating to achievement</w:t>
      </w:r>
      <w:r>
        <w:rPr>
          <w:color w:val="333333"/>
        </w:rPr>
        <w:t>. London, UK: Rou</w:t>
      </w:r>
      <w:r w:rsidR="003F1959">
        <w:rPr>
          <w:color w:val="333333"/>
        </w:rPr>
        <w:t>tledge.</w:t>
      </w:r>
    </w:p>
    <w:p w14:paraId="5EA96F4C" w14:textId="77777777" w:rsidR="009D24CC" w:rsidRDefault="009D24CC" w:rsidP="009D24CC">
      <w:pPr>
        <w:ind w:left="720" w:hanging="720"/>
      </w:pPr>
      <w:r w:rsidRPr="00B90056">
        <w:t>Lent, R. C., &amp; Gilmore B. (2013)</w:t>
      </w:r>
      <w:r w:rsidR="00A120F6">
        <w:t>.</w:t>
      </w:r>
      <w:r w:rsidRPr="00B90056">
        <w:t xml:space="preserve"> </w:t>
      </w:r>
      <w:r w:rsidRPr="00B90056">
        <w:rPr>
          <w:i/>
        </w:rPr>
        <w:t xml:space="preserve">Common Core CPR: What </w:t>
      </w:r>
      <w:r w:rsidR="00BE16C1" w:rsidRPr="00B90056">
        <w:rPr>
          <w:i/>
        </w:rPr>
        <w:t>about adolescents who struggle…...or just don’t c</w:t>
      </w:r>
      <w:r w:rsidRPr="00B90056">
        <w:rPr>
          <w:i/>
        </w:rPr>
        <w:t>are</w:t>
      </w:r>
      <w:r w:rsidRPr="00B90056">
        <w:t>. Thousand Oaks, CA: Corwin.</w:t>
      </w:r>
    </w:p>
    <w:p w14:paraId="251FA967" w14:textId="77777777" w:rsidR="009D24CC" w:rsidRDefault="009D24CC" w:rsidP="009D24CC">
      <w:pPr>
        <w:ind w:left="720" w:hanging="720"/>
        <w:rPr>
          <w:color w:val="333333"/>
        </w:rPr>
      </w:pPr>
      <w:r>
        <w:rPr>
          <w:color w:val="333333"/>
        </w:rPr>
        <w:t>Lent</w:t>
      </w:r>
      <w:r w:rsidRPr="00561EC6">
        <w:rPr>
          <w:color w:val="333333"/>
        </w:rPr>
        <w:t xml:space="preserve">, R. C., &amp; Gilmore, (2014). </w:t>
      </w:r>
      <w:r w:rsidRPr="00561EC6">
        <w:t xml:space="preserve">10 standards for motivation. </w:t>
      </w:r>
      <w:r w:rsidRPr="00BE16C1">
        <w:rPr>
          <w:i/>
        </w:rPr>
        <w:t>Educational Leadership, 72</w:t>
      </w:r>
      <w:r w:rsidRPr="00561EC6">
        <w:t>(1), 66-67</w:t>
      </w:r>
    </w:p>
    <w:p w14:paraId="4AB29262" w14:textId="77777777" w:rsidR="009D24CC" w:rsidRDefault="00A120F6" w:rsidP="009D24CC">
      <w:pPr>
        <w:widowControl w:val="0"/>
        <w:ind w:left="720" w:hanging="720"/>
      </w:pPr>
      <w:proofErr w:type="spellStart"/>
      <w:r>
        <w:t>Ritchhart</w:t>
      </w:r>
      <w:proofErr w:type="spellEnd"/>
      <w:r>
        <w:t xml:space="preserve">, R. </w:t>
      </w:r>
      <w:r w:rsidR="009D24CC">
        <w:t xml:space="preserve">(2015). </w:t>
      </w:r>
      <w:r w:rsidR="009D24CC">
        <w:rPr>
          <w:i/>
        </w:rPr>
        <w:t>Creating cultures of thinking. The 8 forces we must master to truly transform our s</w:t>
      </w:r>
      <w:r w:rsidR="009D24CC" w:rsidRPr="000A54D8">
        <w:rPr>
          <w:i/>
        </w:rPr>
        <w:t xml:space="preserve">chools. </w:t>
      </w:r>
      <w:r w:rsidR="009D24CC">
        <w:t xml:space="preserve">San Francisco, CA: </w:t>
      </w:r>
      <w:proofErr w:type="spellStart"/>
      <w:r w:rsidR="009D24CC">
        <w:t>Jossey</w:t>
      </w:r>
      <w:proofErr w:type="spellEnd"/>
      <w:r w:rsidR="009D24CC">
        <w:t>-Bass.</w:t>
      </w:r>
    </w:p>
    <w:p w14:paraId="3FA69BC2" w14:textId="77777777" w:rsidR="009D24CC" w:rsidRDefault="009D24CC"/>
    <w:sectPr w:rsidR="009D24CC" w:rsidSect="0087083D">
      <w:footerReference w:type="even" r:id="rId28"/>
      <w:footerReference w:type="default" r:id="rId2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CCC2" w14:textId="77777777" w:rsidR="002D079E" w:rsidRDefault="002D079E" w:rsidP="00BE16C1">
      <w:r>
        <w:separator/>
      </w:r>
    </w:p>
  </w:endnote>
  <w:endnote w:type="continuationSeparator" w:id="0">
    <w:p w14:paraId="210780DA" w14:textId="77777777" w:rsidR="002D079E" w:rsidRDefault="002D079E" w:rsidP="00BE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0350" w14:textId="77777777" w:rsidR="00BE16C1" w:rsidRDefault="00BE16C1"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CDA1E" w14:textId="77777777" w:rsidR="00BE16C1" w:rsidRDefault="00BE16C1" w:rsidP="00BE1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AF1D" w14:textId="77777777" w:rsidR="00BE16C1" w:rsidRDefault="00BE16C1"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F62">
      <w:rPr>
        <w:rStyle w:val="PageNumber"/>
        <w:noProof/>
      </w:rPr>
      <w:t>4</w:t>
    </w:r>
    <w:r>
      <w:rPr>
        <w:rStyle w:val="PageNumber"/>
      </w:rPr>
      <w:fldChar w:fldCharType="end"/>
    </w:r>
  </w:p>
  <w:p w14:paraId="6BFCA394" w14:textId="77777777" w:rsidR="00BE16C1" w:rsidRDefault="00BE16C1" w:rsidP="00BE16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E29B" w14:textId="77777777" w:rsidR="002D079E" w:rsidRDefault="002D079E" w:rsidP="00BE16C1">
      <w:r>
        <w:separator/>
      </w:r>
    </w:p>
  </w:footnote>
  <w:footnote w:type="continuationSeparator" w:id="0">
    <w:p w14:paraId="71152A03" w14:textId="77777777" w:rsidR="002D079E" w:rsidRDefault="002D079E" w:rsidP="00BE16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220"/>
    <w:multiLevelType w:val="multilevel"/>
    <w:tmpl w:val="64103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5B17BF"/>
    <w:multiLevelType w:val="multilevel"/>
    <w:tmpl w:val="8198422C"/>
    <w:lvl w:ilvl="0">
      <w:start w:val="1"/>
      <w:numFmt w:val="bullet"/>
      <w:lvlText w:val=""/>
      <w:lvlJc w:val="left"/>
      <w:pPr>
        <w:ind w:left="720" w:firstLine="360"/>
      </w:pPr>
      <w:rPr>
        <w:rFonts w:ascii="Symbol" w:hAnsi="Symbol" w:hint="default"/>
        <w:color w:val="auto"/>
        <w:u w:val="none"/>
      </w:rPr>
    </w:lvl>
    <w:lvl w:ilvl="1">
      <w:start w:val="1"/>
      <w:numFmt w:val="bullet"/>
      <w:lvlText w:val=""/>
      <w:lvlJc w:val="left"/>
      <w:pPr>
        <w:ind w:left="1440" w:firstLine="1080"/>
      </w:pPr>
      <w:rPr>
        <w:rFonts w:ascii="Symbol" w:hAnsi="Symbol" w:hint="default"/>
        <w:color w:val="auto"/>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BA7DB1"/>
    <w:multiLevelType w:val="multilevel"/>
    <w:tmpl w:val="A112A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431E51"/>
    <w:multiLevelType w:val="hybridMultilevel"/>
    <w:tmpl w:val="A3C2C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D6582"/>
    <w:multiLevelType w:val="multilevel"/>
    <w:tmpl w:val="1794D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CB2880"/>
    <w:multiLevelType w:val="multilevel"/>
    <w:tmpl w:val="F9049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F945CE"/>
    <w:multiLevelType w:val="hybridMultilevel"/>
    <w:tmpl w:val="7422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5386A"/>
    <w:multiLevelType w:val="multilevel"/>
    <w:tmpl w:val="0C86E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5310155"/>
    <w:multiLevelType w:val="multilevel"/>
    <w:tmpl w:val="707E3182"/>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66F36F6"/>
    <w:multiLevelType w:val="multilevel"/>
    <w:tmpl w:val="62C6A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6A9598C"/>
    <w:multiLevelType w:val="multilevel"/>
    <w:tmpl w:val="2A763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71552F"/>
    <w:multiLevelType w:val="multilevel"/>
    <w:tmpl w:val="77FECE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81A37CB"/>
    <w:multiLevelType w:val="multilevel"/>
    <w:tmpl w:val="4E906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145B62"/>
    <w:multiLevelType w:val="multilevel"/>
    <w:tmpl w:val="013E131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F3A78AA"/>
    <w:multiLevelType w:val="multilevel"/>
    <w:tmpl w:val="E3DABF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31B94F9A"/>
    <w:multiLevelType w:val="multilevel"/>
    <w:tmpl w:val="162E6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2746A0"/>
    <w:multiLevelType w:val="multilevel"/>
    <w:tmpl w:val="6A7A4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AE9439A"/>
    <w:multiLevelType w:val="multilevel"/>
    <w:tmpl w:val="6EF8A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EC2694E"/>
    <w:multiLevelType w:val="hybridMultilevel"/>
    <w:tmpl w:val="63AA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D2297"/>
    <w:multiLevelType w:val="multilevel"/>
    <w:tmpl w:val="7944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FDA4CC3"/>
    <w:multiLevelType w:val="multilevel"/>
    <w:tmpl w:val="18F6E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4444F0"/>
    <w:multiLevelType w:val="multilevel"/>
    <w:tmpl w:val="D1089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62269E"/>
    <w:multiLevelType w:val="multilevel"/>
    <w:tmpl w:val="8B220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51D1D3B"/>
    <w:multiLevelType w:val="multilevel"/>
    <w:tmpl w:val="1E38B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CF47E10"/>
    <w:multiLevelType w:val="multilevel"/>
    <w:tmpl w:val="F23EDB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4E9912BA"/>
    <w:multiLevelType w:val="multilevel"/>
    <w:tmpl w:val="3640A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1D806DF"/>
    <w:multiLevelType w:val="multilevel"/>
    <w:tmpl w:val="AEE4F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2043350"/>
    <w:multiLevelType w:val="multilevel"/>
    <w:tmpl w:val="7E2AAC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2DF694F"/>
    <w:multiLevelType w:val="multilevel"/>
    <w:tmpl w:val="AC1E89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3CF70D3"/>
    <w:multiLevelType w:val="multilevel"/>
    <w:tmpl w:val="604CC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44D51E6"/>
    <w:multiLevelType w:val="multilevel"/>
    <w:tmpl w:val="305C7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54C97B1B"/>
    <w:multiLevelType w:val="multilevel"/>
    <w:tmpl w:val="243EE8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B5A5803"/>
    <w:multiLevelType w:val="multilevel"/>
    <w:tmpl w:val="52586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D63F02"/>
    <w:multiLevelType w:val="multilevel"/>
    <w:tmpl w:val="DE4A7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F6D1144"/>
    <w:multiLevelType w:val="hybridMultilevel"/>
    <w:tmpl w:val="14767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0147A8"/>
    <w:multiLevelType w:val="multilevel"/>
    <w:tmpl w:val="6F5A3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0A6025D"/>
    <w:multiLevelType w:val="multilevel"/>
    <w:tmpl w:val="A502B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114179B"/>
    <w:multiLevelType w:val="multilevel"/>
    <w:tmpl w:val="A216AF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61541AC7"/>
    <w:multiLevelType w:val="multilevel"/>
    <w:tmpl w:val="0B0AB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3C125A4"/>
    <w:multiLevelType w:val="multilevel"/>
    <w:tmpl w:val="5906A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5500BA0"/>
    <w:multiLevelType w:val="multilevel"/>
    <w:tmpl w:val="6B1A2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87E0545"/>
    <w:multiLevelType w:val="multilevel"/>
    <w:tmpl w:val="97FE77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68C80118"/>
    <w:multiLevelType w:val="multilevel"/>
    <w:tmpl w:val="61C67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8ED1C08"/>
    <w:multiLevelType w:val="multilevel"/>
    <w:tmpl w:val="0C9E5E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69790F3C"/>
    <w:multiLevelType w:val="multilevel"/>
    <w:tmpl w:val="6032F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9A11117"/>
    <w:multiLevelType w:val="multilevel"/>
    <w:tmpl w:val="8A0C79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705423C2"/>
    <w:multiLevelType w:val="multilevel"/>
    <w:tmpl w:val="194E3A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7505083D"/>
    <w:multiLevelType w:val="multilevel"/>
    <w:tmpl w:val="933AB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7DF654F"/>
    <w:multiLevelType w:val="multilevel"/>
    <w:tmpl w:val="A0C89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D730B4E"/>
    <w:multiLevelType w:val="multilevel"/>
    <w:tmpl w:val="C43CB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EE445BF"/>
    <w:multiLevelType w:val="multilevel"/>
    <w:tmpl w:val="FA88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FA47EA3"/>
    <w:multiLevelType w:val="multilevel"/>
    <w:tmpl w:val="0BBEE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6"/>
  </w:num>
  <w:num w:numId="2">
    <w:abstractNumId w:val="7"/>
  </w:num>
  <w:num w:numId="3">
    <w:abstractNumId w:val="9"/>
  </w:num>
  <w:num w:numId="4">
    <w:abstractNumId w:val="33"/>
  </w:num>
  <w:num w:numId="5">
    <w:abstractNumId w:val="49"/>
  </w:num>
  <w:num w:numId="6">
    <w:abstractNumId w:val="29"/>
  </w:num>
  <w:num w:numId="7">
    <w:abstractNumId w:val="35"/>
  </w:num>
  <w:num w:numId="8">
    <w:abstractNumId w:val="20"/>
  </w:num>
  <w:num w:numId="9">
    <w:abstractNumId w:val="46"/>
  </w:num>
  <w:num w:numId="10">
    <w:abstractNumId w:val="17"/>
  </w:num>
  <w:num w:numId="11">
    <w:abstractNumId w:val="37"/>
  </w:num>
  <w:num w:numId="12">
    <w:abstractNumId w:val="43"/>
  </w:num>
  <w:num w:numId="13">
    <w:abstractNumId w:val="45"/>
  </w:num>
  <w:num w:numId="14">
    <w:abstractNumId w:val="32"/>
  </w:num>
  <w:num w:numId="15">
    <w:abstractNumId w:val="16"/>
  </w:num>
  <w:num w:numId="16">
    <w:abstractNumId w:val="0"/>
  </w:num>
  <w:num w:numId="17">
    <w:abstractNumId w:val="11"/>
  </w:num>
  <w:num w:numId="18">
    <w:abstractNumId w:val="44"/>
  </w:num>
  <w:num w:numId="19">
    <w:abstractNumId w:val="24"/>
  </w:num>
  <w:num w:numId="20">
    <w:abstractNumId w:val="22"/>
  </w:num>
  <w:num w:numId="21">
    <w:abstractNumId w:val="13"/>
  </w:num>
  <w:num w:numId="22">
    <w:abstractNumId w:val="47"/>
  </w:num>
  <w:num w:numId="23">
    <w:abstractNumId w:val="23"/>
  </w:num>
  <w:num w:numId="24">
    <w:abstractNumId w:val="26"/>
  </w:num>
  <w:num w:numId="25">
    <w:abstractNumId w:val="2"/>
  </w:num>
  <w:num w:numId="26">
    <w:abstractNumId w:val="41"/>
  </w:num>
  <w:num w:numId="27">
    <w:abstractNumId w:val="48"/>
  </w:num>
  <w:num w:numId="28">
    <w:abstractNumId w:val="31"/>
  </w:num>
  <w:num w:numId="29">
    <w:abstractNumId w:val="40"/>
  </w:num>
  <w:num w:numId="30">
    <w:abstractNumId w:val="28"/>
  </w:num>
  <w:num w:numId="31">
    <w:abstractNumId w:val="25"/>
  </w:num>
  <w:num w:numId="32">
    <w:abstractNumId w:val="39"/>
  </w:num>
  <w:num w:numId="33">
    <w:abstractNumId w:val="8"/>
  </w:num>
  <w:num w:numId="34">
    <w:abstractNumId w:val="27"/>
  </w:num>
  <w:num w:numId="35">
    <w:abstractNumId w:val="12"/>
  </w:num>
  <w:num w:numId="36">
    <w:abstractNumId w:val="50"/>
  </w:num>
  <w:num w:numId="37">
    <w:abstractNumId w:val="4"/>
  </w:num>
  <w:num w:numId="38">
    <w:abstractNumId w:val="42"/>
  </w:num>
  <w:num w:numId="39">
    <w:abstractNumId w:val="10"/>
  </w:num>
  <w:num w:numId="40">
    <w:abstractNumId w:val="51"/>
  </w:num>
  <w:num w:numId="41">
    <w:abstractNumId w:val="30"/>
  </w:num>
  <w:num w:numId="42">
    <w:abstractNumId w:val="21"/>
  </w:num>
  <w:num w:numId="43">
    <w:abstractNumId w:val="15"/>
  </w:num>
  <w:num w:numId="44">
    <w:abstractNumId w:val="38"/>
  </w:num>
  <w:num w:numId="45">
    <w:abstractNumId w:val="5"/>
  </w:num>
  <w:num w:numId="46">
    <w:abstractNumId w:val="19"/>
  </w:num>
  <w:num w:numId="47">
    <w:abstractNumId w:val="14"/>
  </w:num>
  <w:num w:numId="48">
    <w:abstractNumId w:val="1"/>
  </w:num>
  <w:num w:numId="49">
    <w:abstractNumId w:val="3"/>
  </w:num>
  <w:num w:numId="50">
    <w:abstractNumId w:val="34"/>
  </w:num>
  <w:num w:numId="51">
    <w:abstractNumId w:val="18"/>
  </w:num>
  <w:num w:numId="52">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8A"/>
    <w:rsid w:val="00021EC2"/>
    <w:rsid w:val="000354F7"/>
    <w:rsid w:val="00044F8B"/>
    <w:rsid w:val="000D6B11"/>
    <w:rsid w:val="001761DB"/>
    <w:rsid w:val="001B6833"/>
    <w:rsid w:val="001C041F"/>
    <w:rsid w:val="001C54AD"/>
    <w:rsid w:val="00201EC7"/>
    <w:rsid w:val="0024421C"/>
    <w:rsid w:val="002C289A"/>
    <w:rsid w:val="002D079E"/>
    <w:rsid w:val="002E456D"/>
    <w:rsid w:val="00301B9A"/>
    <w:rsid w:val="0031058A"/>
    <w:rsid w:val="0031067E"/>
    <w:rsid w:val="00311B08"/>
    <w:rsid w:val="00332FFF"/>
    <w:rsid w:val="00334C47"/>
    <w:rsid w:val="00380836"/>
    <w:rsid w:val="00390F43"/>
    <w:rsid w:val="003E25F9"/>
    <w:rsid w:val="003F1959"/>
    <w:rsid w:val="003F5708"/>
    <w:rsid w:val="00435A07"/>
    <w:rsid w:val="004475AA"/>
    <w:rsid w:val="004912C3"/>
    <w:rsid w:val="004A7361"/>
    <w:rsid w:val="004B3E9E"/>
    <w:rsid w:val="004C063F"/>
    <w:rsid w:val="004E27DA"/>
    <w:rsid w:val="004E4041"/>
    <w:rsid w:val="005162CC"/>
    <w:rsid w:val="00561EC6"/>
    <w:rsid w:val="005A39F9"/>
    <w:rsid w:val="005E7A55"/>
    <w:rsid w:val="005F7473"/>
    <w:rsid w:val="00621E17"/>
    <w:rsid w:val="0065672C"/>
    <w:rsid w:val="00656A57"/>
    <w:rsid w:val="00667B27"/>
    <w:rsid w:val="00681FB8"/>
    <w:rsid w:val="006B2F62"/>
    <w:rsid w:val="006D6501"/>
    <w:rsid w:val="00736FB3"/>
    <w:rsid w:val="00743DC0"/>
    <w:rsid w:val="007533E6"/>
    <w:rsid w:val="0077290B"/>
    <w:rsid w:val="00775057"/>
    <w:rsid w:val="00793C66"/>
    <w:rsid w:val="007A09E8"/>
    <w:rsid w:val="007A4DE0"/>
    <w:rsid w:val="007D7E16"/>
    <w:rsid w:val="007D7E57"/>
    <w:rsid w:val="00837A3A"/>
    <w:rsid w:val="00847502"/>
    <w:rsid w:val="00903B3C"/>
    <w:rsid w:val="00934470"/>
    <w:rsid w:val="00950D6A"/>
    <w:rsid w:val="00974113"/>
    <w:rsid w:val="00985F5A"/>
    <w:rsid w:val="009A215E"/>
    <w:rsid w:val="009A5319"/>
    <w:rsid w:val="009D24CC"/>
    <w:rsid w:val="00A120F6"/>
    <w:rsid w:val="00A42FCB"/>
    <w:rsid w:val="00A96156"/>
    <w:rsid w:val="00AA18DD"/>
    <w:rsid w:val="00AB389D"/>
    <w:rsid w:val="00AF22AB"/>
    <w:rsid w:val="00AF37EB"/>
    <w:rsid w:val="00B5175F"/>
    <w:rsid w:val="00B53E3F"/>
    <w:rsid w:val="00B8657B"/>
    <w:rsid w:val="00B90056"/>
    <w:rsid w:val="00BA1DB7"/>
    <w:rsid w:val="00BB30C6"/>
    <w:rsid w:val="00BE16C1"/>
    <w:rsid w:val="00C74C5A"/>
    <w:rsid w:val="00CB3223"/>
    <w:rsid w:val="00CC3D8F"/>
    <w:rsid w:val="00CC7AF6"/>
    <w:rsid w:val="00CD50FF"/>
    <w:rsid w:val="00D004BF"/>
    <w:rsid w:val="00D32454"/>
    <w:rsid w:val="00D62EAD"/>
    <w:rsid w:val="00DC5247"/>
    <w:rsid w:val="00DF5FA4"/>
    <w:rsid w:val="00E11B33"/>
    <w:rsid w:val="00E61DA9"/>
    <w:rsid w:val="00E62EC1"/>
    <w:rsid w:val="00E863EF"/>
    <w:rsid w:val="00F01C7D"/>
    <w:rsid w:val="00F37BAD"/>
    <w:rsid w:val="00F86AC6"/>
    <w:rsid w:val="00F96F00"/>
    <w:rsid w:val="00FA2A4A"/>
    <w:rsid w:val="00FB6FBB"/>
    <w:rsid w:val="00FD038F"/>
    <w:rsid w:val="00FE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D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1058A"/>
    <w:pPr>
      <w:spacing w:after="0" w:line="240" w:lineRule="auto"/>
    </w:pPr>
    <w:rPr>
      <w:rFonts w:ascii="Arial" w:eastAsia="Arial" w:hAnsi="Arial" w:cs="Arial"/>
      <w:color w:val="000000"/>
    </w:rPr>
  </w:style>
  <w:style w:type="paragraph" w:styleId="Heading1">
    <w:name w:val="heading 1"/>
    <w:basedOn w:val="Normal"/>
    <w:next w:val="Normal"/>
    <w:link w:val="Heading1Char"/>
    <w:rsid w:val="0031058A"/>
    <w:pPr>
      <w:keepNext/>
      <w:keepLines/>
      <w:spacing w:before="100" w:after="100"/>
      <w:outlineLvl w:val="0"/>
    </w:pPr>
    <w:rPr>
      <w:rFonts w:ascii="Calibri" w:eastAsia="Calibri" w:hAnsi="Calibri" w:cs="Calibri"/>
      <w:b/>
      <w:color w:val="345A8A"/>
      <w:sz w:val="32"/>
      <w:szCs w:val="32"/>
    </w:rPr>
  </w:style>
  <w:style w:type="paragraph" w:styleId="Heading2">
    <w:name w:val="heading 2"/>
    <w:basedOn w:val="Normal"/>
    <w:next w:val="Normal"/>
    <w:link w:val="Heading2Char"/>
    <w:rsid w:val="0031058A"/>
    <w:pPr>
      <w:keepNext/>
      <w:keepLines/>
      <w:spacing w:before="100" w:after="100"/>
      <w:outlineLvl w:val="1"/>
    </w:pPr>
    <w:rPr>
      <w:rFonts w:ascii="Calibri" w:eastAsia="Calibri" w:hAnsi="Calibri" w:cs="Calibri"/>
      <w:b/>
      <w:color w:val="4F81BD"/>
      <w:sz w:val="26"/>
      <w:szCs w:val="26"/>
    </w:rPr>
  </w:style>
  <w:style w:type="paragraph" w:styleId="Heading3">
    <w:name w:val="heading 3"/>
    <w:basedOn w:val="Normal"/>
    <w:next w:val="Normal"/>
    <w:link w:val="Heading3Char"/>
    <w:rsid w:val="0031058A"/>
    <w:pPr>
      <w:keepNext/>
      <w:keepLines/>
      <w:spacing w:before="100" w:after="100"/>
      <w:contextualSpacing/>
      <w:outlineLvl w:val="2"/>
    </w:pPr>
    <w:rPr>
      <w:rFonts w:ascii="Calibri" w:eastAsia="Calibri" w:hAnsi="Calibri" w:cs="Calibri"/>
      <w:b/>
      <w:color w:val="345A8A"/>
      <w:sz w:val="24"/>
      <w:szCs w:val="24"/>
    </w:rPr>
  </w:style>
  <w:style w:type="paragraph" w:styleId="Heading4">
    <w:name w:val="heading 4"/>
    <w:basedOn w:val="Normal"/>
    <w:next w:val="Normal"/>
    <w:link w:val="Heading4Char"/>
    <w:rsid w:val="0031058A"/>
    <w:pPr>
      <w:keepNext/>
      <w:keepLines/>
      <w:spacing w:before="240" w:after="40"/>
      <w:contextualSpacing/>
      <w:outlineLvl w:val="3"/>
    </w:pPr>
    <w:rPr>
      <w:b/>
      <w:sz w:val="24"/>
      <w:szCs w:val="24"/>
    </w:rPr>
  </w:style>
  <w:style w:type="paragraph" w:styleId="Heading5">
    <w:name w:val="heading 5"/>
    <w:basedOn w:val="Normal"/>
    <w:next w:val="Normal"/>
    <w:link w:val="Heading5Char"/>
    <w:rsid w:val="0031058A"/>
    <w:pPr>
      <w:keepNext/>
      <w:keepLines/>
      <w:spacing w:before="220" w:after="40"/>
      <w:contextualSpacing/>
      <w:outlineLvl w:val="4"/>
    </w:pPr>
    <w:rPr>
      <w:b/>
    </w:rPr>
  </w:style>
  <w:style w:type="paragraph" w:styleId="Heading6">
    <w:name w:val="heading 6"/>
    <w:basedOn w:val="Normal"/>
    <w:next w:val="Normal"/>
    <w:link w:val="Heading6Char"/>
    <w:rsid w:val="003105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58A"/>
    <w:rPr>
      <w:rFonts w:ascii="Calibri" w:eastAsia="Calibri" w:hAnsi="Calibri" w:cs="Calibri"/>
      <w:b/>
      <w:color w:val="345A8A"/>
      <w:sz w:val="32"/>
      <w:szCs w:val="32"/>
    </w:rPr>
  </w:style>
  <w:style w:type="character" w:customStyle="1" w:styleId="Heading2Char">
    <w:name w:val="Heading 2 Char"/>
    <w:basedOn w:val="DefaultParagraphFont"/>
    <w:link w:val="Heading2"/>
    <w:rsid w:val="0031058A"/>
    <w:rPr>
      <w:rFonts w:ascii="Calibri" w:eastAsia="Calibri" w:hAnsi="Calibri" w:cs="Calibri"/>
      <w:b/>
      <w:color w:val="4F81BD"/>
      <w:sz w:val="26"/>
      <w:szCs w:val="26"/>
    </w:rPr>
  </w:style>
  <w:style w:type="character" w:customStyle="1" w:styleId="Heading3Char">
    <w:name w:val="Heading 3 Char"/>
    <w:basedOn w:val="DefaultParagraphFont"/>
    <w:link w:val="Heading3"/>
    <w:rsid w:val="0031058A"/>
    <w:rPr>
      <w:rFonts w:ascii="Calibri" w:eastAsia="Calibri" w:hAnsi="Calibri" w:cs="Calibri"/>
      <w:b/>
      <w:color w:val="345A8A"/>
      <w:sz w:val="24"/>
      <w:szCs w:val="24"/>
    </w:rPr>
  </w:style>
  <w:style w:type="character" w:customStyle="1" w:styleId="Heading4Char">
    <w:name w:val="Heading 4 Char"/>
    <w:basedOn w:val="DefaultParagraphFont"/>
    <w:link w:val="Heading4"/>
    <w:rsid w:val="0031058A"/>
    <w:rPr>
      <w:rFonts w:ascii="Arial" w:eastAsia="Arial" w:hAnsi="Arial" w:cs="Arial"/>
      <w:b/>
      <w:color w:val="000000"/>
      <w:sz w:val="24"/>
      <w:szCs w:val="24"/>
    </w:rPr>
  </w:style>
  <w:style w:type="character" w:customStyle="1" w:styleId="Heading5Char">
    <w:name w:val="Heading 5 Char"/>
    <w:basedOn w:val="DefaultParagraphFont"/>
    <w:link w:val="Heading5"/>
    <w:rsid w:val="0031058A"/>
    <w:rPr>
      <w:rFonts w:ascii="Arial" w:eastAsia="Arial" w:hAnsi="Arial" w:cs="Arial"/>
      <w:b/>
      <w:color w:val="000000"/>
    </w:rPr>
  </w:style>
  <w:style w:type="character" w:customStyle="1" w:styleId="Heading6Char">
    <w:name w:val="Heading 6 Char"/>
    <w:basedOn w:val="DefaultParagraphFont"/>
    <w:link w:val="Heading6"/>
    <w:rsid w:val="0031058A"/>
    <w:rPr>
      <w:rFonts w:ascii="Arial" w:eastAsia="Arial" w:hAnsi="Arial" w:cs="Arial"/>
      <w:b/>
      <w:color w:val="000000"/>
      <w:sz w:val="20"/>
      <w:szCs w:val="20"/>
    </w:rPr>
  </w:style>
  <w:style w:type="paragraph" w:styleId="Title">
    <w:name w:val="Title"/>
    <w:basedOn w:val="Normal"/>
    <w:next w:val="Normal"/>
    <w:link w:val="TitleChar"/>
    <w:rsid w:val="0031058A"/>
    <w:pPr>
      <w:keepNext/>
      <w:keepLines/>
      <w:spacing w:before="100" w:after="100"/>
      <w:contextualSpacing/>
    </w:pPr>
    <w:rPr>
      <w:rFonts w:ascii="Calibri" w:eastAsia="Calibri" w:hAnsi="Calibri" w:cs="Calibri"/>
      <w:b/>
      <w:color w:val="345A8A"/>
      <w:sz w:val="48"/>
      <w:szCs w:val="48"/>
    </w:rPr>
  </w:style>
  <w:style w:type="character" w:customStyle="1" w:styleId="TitleChar">
    <w:name w:val="Title Char"/>
    <w:basedOn w:val="DefaultParagraphFont"/>
    <w:link w:val="Title"/>
    <w:rsid w:val="0031058A"/>
    <w:rPr>
      <w:rFonts w:ascii="Calibri" w:eastAsia="Calibri" w:hAnsi="Calibri" w:cs="Calibri"/>
      <w:b/>
      <w:color w:val="345A8A"/>
      <w:sz w:val="48"/>
      <w:szCs w:val="48"/>
    </w:rPr>
  </w:style>
  <w:style w:type="paragraph" w:styleId="Subtitle">
    <w:name w:val="Subtitle"/>
    <w:basedOn w:val="Normal"/>
    <w:next w:val="Normal"/>
    <w:link w:val="SubtitleChar"/>
    <w:rsid w:val="0031058A"/>
    <w:pPr>
      <w:keepNext/>
      <w:keepLines/>
      <w:spacing w:before="100" w:after="100"/>
      <w:contextualSpacing/>
    </w:pPr>
    <w:rPr>
      <w:rFonts w:ascii="Calibri" w:eastAsia="Calibri" w:hAnsi="Calibri" w:cs="Calibri"/>
      <w:b/>
      <w:sz w:val="28"/>
      <w:szCs w:val="28"/>
    </w:rPr>
  </w:style>
  <w:style w:type="character" w:customStyle="1" w:styleId="SubtitleChar">
    <w:name w:val="Subtitle Char"/>
    <w:basedOn w:val="DefaultParagraphFont"/>
    <w:link w:val="Subtitle"/>
    <w:rsid w:val="0031058A"/>
    <w:rPr>
      <w:rFonts w:ascii="Calibri" w:eastAsia="Calibri" w:hAnsi="Calibri" w:cs="Calibri"/>
      <w:b/>
      <w:color w:val="000000"/>
      <w:sz w:val="28"/>
      <w:szCs w:val="28"/>
    </w:rPr>
  </w:style>
  <w:style w:type="table" w:styleId="TableGrid">
    <w:name w:val="Table Grid"/>
    <w:basedOn w:val="TableNormal"/>
    <w:uiPriority w:val="59"/>
    <w:rsid w:val="0031058A"/>
    <w:pPr>
      <w:spacing w:after="0" w:line="240" w:lineRule="auto"/>
    </w:pPr>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1058A"/>
    <w:pPr>
      <w:spacing w:before="480" w:after="0" w:line="276" w:lineRule="auto"/>
      <w:outlineLvl w:val="9"/>
    </w:pPr>
    <w:rPr>
      <w:rFonts w:ascii="Cambria" w:eastAsia="Times New Roman" w:hAnsi="Cambria" w:cs="Times New Roman"/>
      <w:bCs/>
      <w:color w:val="365F91"/>
      <w:sz w:val="28"/>
      <w:szCs w:val="28"/>
      <w:lang w:eastAsia="ja-JP"/>
    </w:rPr>
  </w:style>
  <w:style w:type="paragraph" w:styleId="TOC1">
    <w:name w:val="toc 1"/>
    <w:basedOn w:val="Normal"/>
    <w:next w:val="Normal"/>
    <w:autoRedefine/>
    <w:uiPriority w:val="39"/>
    <w:unhideWhenUsed/>
    <w:rsid w:val="0031058A"/>
    <w:pPr>
      <w:spacing w:after="100"/>
    </w:pPr>
  </w:style>
  <w:style w:type="paragraph" w:styleId="TOC2">
    <w:name w:val="toc 2"/>
    <w:basedOn w:val="Normal"/>
    <w:next w:val="Normal"/>
    <w:autoRedefine/>
    <w:uiPriority w:val="39"/>
    <w:unhideWhenUsed/>
    <w:rsid w:val="0031058A"/>
    <w:pPr>
      <w:spacing w:after="100"/>
      <w:ind w:left="220"/>
    </w:pPr>
  </w:style>
  <w:style w:type="paragraph" w:styleId="TOC3">
    <w:name w:val="toc 3"/>
    <w:basedOn w:val="Normal"/>
    <w:next w:val="Normal"/>
    <w:autoRedefine/>
    <w:uiPriority w:val="39"/>
    <w:unhideWhenUsed/>
    <w:rsid w:val="0031058A"/>
    <w:pPr>
      <w:spacing w:after="100"/>
      <w:ind w:left="440"/>
    </w:pPr>
  </w:style>
  <w:style w:type="character" w:styleId="Hyperlink">
    <w:name w:val="Hyperlink"/>
    <w:basedOn w:val="DefaultParagraphFont"/>
    <w:uiPriority w:val="99"/>
    <w:unhideWhenUsed/>
    <w:rsid w:val="0031058A"/>
    <w:rPr>
      <w:color w:val="0000FF"/>
      <w:u w:val="single"/>
    </w:rPr>
  </w:style>
  <w:style w:type="paragraph" w:styleId="BalloonText">
    <w:name w:val="Balloon Text"/>
    <w:basedOn w:val="Normal"/>
    <w:link w:val="BalloonTextChar"/>
    <w:uiPriority w:val="99"/>
    <w:semiHidden/>
    <w:unhideWhenUsed/>
    <w:rsid w:val="0031058A"/>
    <w:rPr>
      <w:rFonts w:ascii="Tahoma" w:hAnsi="Tahoma" w:cs="Tahoma"/>
      <w:sz w:val="16"/>
      <w:szCs w:val="16"/>
    </w:rPr>
  </w:style>
  <w:style w:type="character" w:customStyle="1" w:styleId="BalloonTextChar">
    <w:name w:val="Balloon Text Char"/>
    <w:basedOn w:val="DefaultParagraphFont"/>
    <w:link w:val="BalloonText"/>
    <w:uiPriority w:val="99"/>
    <w:semiHidden/>
    <w:rsid w:val="0031058A"/>
    <w:rPr>
      <w:rFonts w:ascii="Tahoma" w:eastAsia="Arial" w:hAnsi="Tahoma" w:cs="Tahoma"/>
      <w:color w:val="000000"/>
      <w:sz w:val="16"/>
      <w:szCs w:val="16"/>
    </w:rPr>
  </w:style>
  <w:style w:type="paragraph" w:styleId="ListParagraph">
    <w:name w:val="List Paragraph"/>
    <w:basedOn w:val="Normal"/>
    <w:uiPriority w:val="34"/>
    <w:qFormat/>
    <w:rsid w:val="0031058A"/>
    <w:pPr>
      <w:ind w:left="720"/>
      <w:contextualSpacing/>
    </w:pPr>
  </w:style>
  <w:style w:type="paragraph" w:styleId="Footer">
    <w:name w:val="footer"/>
    <w:basedOn w:val="Normal"/>
    <w:link w:val="FooterChar"/>
    <w:uiPriority w:val="99"/>
    <w:unhideWhenUsed/>
    <w:rsid w:val="00BE16C1"/>
    <w:pPr>
      <w:tabs>
        <w:tab w:val="center" w:pos="4680"/>
        <w:tab w:val="right" w:pos="9360"/>
      </w:tabs>
    </w:pPr>
  </w:style>
  <w:style w:type="character" w:customStyle="1" w:styleId="FooterChar">
    <w:name w:val="Footer Char"/>
    <w:basedOn w:val="DefaultParagraphFont"/>
    <w:link w:val="Footer"/>
    <w:uiPriority w:val="99"/>
    <w:rsid w:val="00BE16C1"/>
    <w:rPr>
      <w:rFonts w:ascii="Arial" w:eastAsia="Arial" w:hAnsi="Arial" w:cs="Arial"/>
      <w:color w:val="000000"/>
    </w:rPr>
  </w:style>
  <w:style w:type="character" w:styleId="PageNumber">
    <w:name w:val="page number"/>
    <w:basedOn w:val="DefaultParagraphFont"/>
    <w:uiPriority w:val="99"/>
    <w:semiHidden/>
    <w:unhideWhenUsed/>
    <w:rsid w:val="00BE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nritchhart.com/COT_Resources.html" TargetMode="External"/><Relationship Id="rId20" Type="http://schemas.openxmlformats.org/officeDocument/2006/relationships/hyperlink" Target="http://www.google.com/url?q=http%3A%2F%2Feducation.ohio.gov%2Fgetattachment%2FTopics%2FCareer-Tech%2FCareer-Connections%2FResources-for-Teachers%2FCCLSQuickGuide_Oct-2013.pdf.aspx&amp;sa=D&amp;sntz=1&amp;usg=AFQjCNE7lbLbWxV-nDHpVzsOONarADXhNw" TargetMode="External"/><Relationship Id="rId21" Type="http://schemas.openxmlformats.org/officeDocument/2006/relationships/hyperlink" Target="http://education.ohio.gov/getattachment/Topics/Career-Tech/Career-Connections/Resources-for-Teachers/CCLSQuickGuide_Oct-2013.pdf.aspx" TargetMode="External"/><Relationship Id="rId22" Type="http://schemas.openxmlformats.org/officeDocument/2006/relationships/image" Target="media/image3.png"/><Relationship Id="rId23" Type="http://schemas.openxmlformats.org/officeDocument/2006/relationships/hyperlink" Target="https://www.infohio.org/educators/eptools/curriculum-toolbox" TargetMode="External"/><Relationship Id="rId24" Type="http://schemas.openxmlformats.org/officeDocument/2006/relationships/hyperlink" Target="http://www.edutopia.org/blog/reengaging-students-andrew-marcinek" TargetMode="External"/><Relationship Id="rId25" Type="http://schemas.openxmlformats.org/officeDocument/2006/relationships/hyperlink" Target="http://www.teachthought.com/teaching/21-simple-ideas-to-improve-student-motivatio/" TargetMode="External"/><Relationship Id="rId26" Type="http://schemas.openxmlformats.org/officeDocument/2006/relationships/hyperlink" Target="https://www.naeyc.org/files/yc/file/200603/JablonBTJ.pdf" TargetMode="External"/><Relationship Id="rId27" Type="http://schemas.openxmlformats.org/officeDocument/2006/relationships/hyperlink" Target="http://www.edutopia.org/article/brain-based-learning-resources"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file:///C:/Users/Ownr/Downloads/comp%20relationship.pdf" TargetMode="External"/><Relationship Id="rId11" Type="http://schemas.openxmlformats.org/officeDocument/2006/relationships/hyperlink" Target="http://www.rbteach.com/sites/default/files/jons_15_minutes_to_a_transformed_lesson_jsdaug13.pdf" TargetMode="External"/><Relationship Id="rId12" Type="http://schemas.openxmlformats.org/officeDocument/2006/relationships/hyperlink" Target="http://www.rbteach.com/blogs/15-minutes-transformed-lesson" TargetMode="External"/><Relationship Id="rId13" Type="http://schemas.openxmlformats.org/officeDocument/2006/relationships/hyperlink" Target="http://www.ohioleadership.org/" TargetMode="External"/><Relationship Id="rId14" Type="http://schemas.openxmlformats.org/officeDocument/2006/relationships/hyperlink" Target="http://www.npr.org/sections/ed/2015/05/28/404684712/non-academic-skills-are-key-to-success-but-what-should-we-call-them" TargetMode="External"/><Relationship Id="rId15" Type="http://schemas.openxmlformats.org/officeDocument/2006/relationships/hyperlink" Target="http://education.ohio.gov/Topics/Other-Resources/Family-and-Community-Engagement/Getting-Involved-with-your-Child-s-Learning/Ohio-Resources-for-College-and-Career-Planning" TargetMode="External"/><Relationship Id="rId16" Type="http://schemas.openxmlformats.org/officeDocument/2006/relationships/image" Target="media/image1.png"/><Relationship Id="rId17" Type="http://schemas.openxmlformats.org/officeDocument/2006/relationships/hyperlink" Target="http://www.google.com/url?q=http%3A%2F%2Feducation.ohio.gov%2Fgetattachment%2FTopics%2FCareer-Tech%2FCareer-Connections%2FResources-for-Teachers%2FCareer-Connections-Guide-Teacher_4-2014.pdf.aspx&amp;sa=D&amp;sntz=1&amp;usg=AFQjCNH1xl2TXVmcsQRn3U6uOApz7oOH_w" TargetMode="External"/><Relationship Id="rId18" Type="http://schemas.openxmlformats.org/officeDocument/2006/relationships/hyperlink" Target="http://education.ohio.gov/getattachment/Topics/Career-Tech/Career-Connections/Resources-for-Teachers/Career-Connections-Guide-Teacher_4-2014.pdf.aspx"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cd.org/publications/educational-leadership/sept14/vol72/num01/10-Standards-for-Motivation.aspx" TargetMode="External"/><Relationship Id="rId8" Type="http://schemas.openxmlformats.org/officeDocument/2006/relationships/hyperlink" Target="http://www.ud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1754</Words>
  <Characters>10003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4</cp:revision>
  <cp:lastPrinted>2017-09-03T18:09:00Z</cp:lastPrinted>
  <dcterms:created xsi:type="dcterms:W3CDTF">2017-09-04T17:21:00Z</dcterms:created>
  <dcterms:modified xsi:type="dcterms:W3CDTF">2017-09-04T17:26:00Z</dcterms:modified>
</cp:coreProperties>
</file>