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3F73" w14:textId="77777777" w:rsidR="00E87531" w:rsidRPr="00E03BAD" w:rsidRDefault="00E03BAD" w:rsidP="00E87531">
      <w:pPr>
        <w:pStyle w:val="Heading2"/>
        <w:rPr>
          <w:color w:val="auto"/>
          <w:sz w:val="32"/>
          <w:szCs w:val="32"/>
        </w:rPr>
      </w:pPr>
      <w:bookmarkStart w:id="0" w:name="_Toc424065745"/>
      <w:r>
        <w:rPr>
          <w:color w:val="auto"/>
          <w:sz w:val="32"/>
          <w:szCs w:val="32"/>
        </w:rPr>
        <w:t>Cultural Proficiency</w:t>
      </w:r>
      <w:r w:rsidR="00E87531" w:rsidRPr="00E03BAD">
        <w:rPr>
          <w:color w:val="auto"/>
          <w:sz w:val="32"/>
          <w:szCs w:val="32"/>
        </w:rPr>
        <w:t xml:space="preserve"> </w:t>
      </w:r>
      <w:bookmarkEnd w:id="0"/>
    </w:p>
    <w:bookmarkStart w:id="1" w:name="h.f4haheulyd4p" w:colFirst="0" w:colLast="0"/>
    <w:bookmarkEnd w:id="1"/>
    <w:p w14:paraId="2E87DB9F" w14:textId="3FCBE782" w:rsidR="00E87531" w:rsidRPr="00935940" w:rsidRDefault="006009E5" w:rsidP="00E87531">
      <w:pPr>
        <w:pStyle w:val="Title"/>
        <w:contextualSpacing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7728" behindDoc="1" locked="0" layoutInCell="0" allowOverlap="1" wp14:anchorId="21EBA444" wp14:editId="57C487BA">
                <wp:simplePos x="0" y="0"/>
                <wp:positionH relativeFrom="margin">
                  <wp:posOffset>4297680</wp:posOffset>
                </wp:positionH>
                <wp:positionV relativeFrom="paragraph">
                  <wp:posOffset>53340</wp:posOffset>
                </wp:positionV>
                <wp:extent cx="2133600" cy="1590675"/>
                <wp:effectExtent l="25400" t="0" r="50800" b="365125"/>
                <wp:wrapSquare wrapText="bothSides"/>
                <wp:docPr id="1" name="Cloud Callou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90675"/>
                        </a:xfrm>
                        <a:prstGeom prst="cloudCallout">
                          <a:avLst>
                            <a:gd name="adj1" fmla="val -33360"/>
                            <a:gd name="adj2" fmla="val 66933"/>
                          </a:avLst>
                        </a:prstGeom>
                        <a:solidFill>
                          <a:srgbClr val="F1C23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23906C" w14:textId="77777777" w:rsidR="00E87531" w:rsidRDefault="00E87531" w:rsidP="00E875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What does it mean to be culturally proficient or culturally competent?</w:t>
                            </w: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A444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3" o:spid="_x0000_s1026" type="#_x0000_t106" style="position:absolute;margin-left:338.4pt;margin-top:4.2pt;width:168pt;height:125.25pt;z-index:-25165875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" o:allowincell="f" adj="3594,25258" fillcolor="#f1c232" strokeweight="1.5pt">
                <v:textbox inset="91424emu,91424emu,91424emu,91424emu">
                  <w:txbxContent>
                    <w:p w14:paraId="7323906C" w14:textId="77777777" w:rsidR="00E87531" w:rsidRDefault="00E87531" w:rsidP="00E8753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What does it mean to be culturally proficient or culturally competent?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1291F" w14:textId="27102513" w:rsidR="00E87531" w:rsidRDefault="00E87531" w:rsidP="00E87531">
      <w:r>
        <w:t>“We define culture as everything that you believe and everything that enables you to identify with people who are like you and distinguishes you from people who dif</w:t>
      </w:r>
      <w:r w:rsidR="00022EE8">
        <w:t xml:space="preserve">fer from you. Culture is about </w:t>
      </w:r>
      <w:r w:rsidR="00F85576">
        <w:t>‘groupness.’</w:t>
      </w:r>
      <w:r>
        <w:t xml:space="preserve"> A culture is a group of people identified by their shared history, values and patterns of behavior….</w:t>
      </w:r>
      <w:r w:rsidR="006F2BE5">
        <w:t xml:space="preserve"> </w:t>
      </w:r>
      <w:r w:rsidR="0059456D">
        <w:t xml:space="preserve">You </w:t>
      </w:r>
      <w:r>
        <w:t>may need to expand your conceptual paradigm for culture to encompass everything that people believe and everything that they do that identifies them as members of a group and distinguishes that group from other groups.”</w:t>
      </w:r>
      <w:r w:rsidR="00022EE8">
        <w:t xml:space="preserve"> (Lindsey, Robins, &amp; Terrell, 2009, p. 25)</w:t>
      </w:r>
    </w:p>
    <w:p w14:paraId="209361A1" w14:textId="77777777" w:rsidR="00E87531" w:rsidRDefault="00E87531" w:rsidP="00E87531"/>
    <w:p w14:paraId="51152F62" w14:textId="77777777" w:rsidR="00E87531" w:rsidRDefault="00E87531" w:rsidP="00E87531"/>
    <w:p w14:paraId="34C7B0E6" w14:textId="77777777" w:rsidR="00341FCE" w:rsidRDefault="00341FCE" w:rsidP="00E87531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26"/>
        <w:gridCol w:w="4814"/>
      </w:tblGrid>
      <w:tr w:rsidR="00E87531" w14:paraId="3815BE2E" w14:textId="77777777" w:rsidTr="00A36AEB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296A" w14:textId="77777777" w:rsidR="00E87531" w:rsidRDefault="00E87531" w:rsidP="00F70E0F">
            <w:pPr>
              <w:widowControl w:val="0"/>
            </w:pPr>
            <w:r w:rsidRPr="000A54D8">
              <w:rPr>
                <w:b/>
              </w:rPr>
              <w:t>Organizational, occupational</w:t>
            </w:r>
            <w:r w:rsidR="00840F0F">
              <w:rPr>
                <w:b/>
              </w:rPr>
              <w:t>,</w:t>
            </w:r>
            <w:r w:rsidRPr="000A54D8">
              <w:rPr>
                <w:b/>
              </w:rPr>
              <w:t xml:space="preserve"> and social cultures shape people’s values and affect their communication</w:t>
            </w:r>
          </w:p>
          <w:p w14:paraId="2B73BAC0" w14:textId="77777777" w:rsidR="00E87531" w:rsidRDefault="00E87531" w:rsidP="00F70E0F">
            <w:pPr>
              <w:widowControl w:val="0"/>
            </w:pPr>
          </w:p>
          <w:p w14:paraId="11D01951" w14:textId="77777777" w:rsidR="00E87531" w:rsidRDefault="00E87531" w:rsidP="00F70E0F"/>
          <w:p w14:paraId="7767E96D" w14:textId="77777777" w:rsidR="00E87531" w:rsidRDefault="00E87531" w:rsidP="00F70E0F">
            <w:pPr>
              <w:widowControl w:val="0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F2DB" w14:textId="434DE517" w:rsidR="00E87531" w:rsidRDefault="00E87531" w:rsidP="00F70E0F">
            <w:r w:rsidRPr="000A54D8">
              <w:rPr>
                <w:b/>
              </w:rPr>
              <w:t>Social cultures</w:t>
            </w:r>
            <w:r w:rsidR="00AE75BA">
              <w:t xml:space="preserve"> arise among</w:t>
            </w:r>
            <w:r>
              <w:t xml:space="preserve"> groups of people who share a common interest or activity (e.g. jogging, volunteer work, or arts and crafts)</w:t>
            </w:r>
            <w:r w:rsidR="007D028A">
              <w:t>.</w:t>
            </w:r>
          </w:p>
          <w:p w14:paraId="1CDBA9EE" w14:textId="77777777" w:rsidR="00E87531" w:rsidRDefault="00E87531" w:rsidP="00F70E0F"/>
          <w:p w14:paraId="3212D84B" w14:textId="4F0246F9" w:rsidR="00E87531" w:rsidRDefault="00E87531" w:rsidP="00F70E0F">
            <w:r w:rsidRPr="000A54D8">
              <w:rPr>
                <w:b/>
              </w:rPr>
              <w:t>Occupational cultures</w:t>
            </w:r>
            <w:r>
              <w:t xml:space="preserve"> </w:t>
            </w:r>
            <w:r w:rsidR="00AE75BA">
              <w:t>arise when a group of people</w:t>
            </w:r>
            <w:r>
              <w:t xml:space="preserve"> </w:t>
            </w:r>
            <w:r w:rsidR="00AE75BA">
              <w:t xml:space="preserve">shares </w:t>
            </w:r>
            <w:r>
              <w:t>involvement in a common vocation (e.g. teachers, administrators, lawyers, accountants)</w:t>
            </w:r>
            <w:r w:rsidR="007D028A">
              <w:t>.</w:t>
            </w:r>
          </w:p>
          <w:p w14:paraId="18007E01" w14:textId="77777777" w:rsidR="00840F0F" w:rsidRDefault="00840F0F" w:rsidP="00F70E0F"/>
          <w:p w14:paraId="65EEAE26" w14:textId="72B6F12B" w:rsidR="00E87531" w:rsidRDefault="00E87531" w:rsidP="00F70E0F">
            <w:r w:rsidRPr="000A54D8">
              <w:rPr>
                <w:b/>
              </w:rPr>
              <w:t>Organizational culture</w:t>
            </w:r>
            <w:r w:rsidR="00AE75BA">
              <w:rPr>
                <w:b/>
              </w:rPr>
              <w:t xml:space="preserve">s </w:t>
            </w:r>
            <w:r w:rsidR="00AE75BA">
              <w:t xml:space="preserve">arise among </w:t>
            </w:r>
            <w:r>
              <w:t>peo</w:t>
            </w:r>
            <w:r w:rsidR="00AE75BA">
              <w:t>ple who work for the same organization (e.g., school or district)</w:t>
            </w:r>
            <w:r>
              <w:t xml:space="preserve">. </w:t>
            </w:r>
            <w:r w:rsidR="00AE75BA">
              <w:t>Not all organizations of a particular type have the same organizational culture.</w:t>
            </w:r>
          </w:p>
          <w:p w14:paraId="109BD414" w14:textId="77777777" w:rsidR="00B57D15" w:rsidRDefault="00B57D15" w:rsidP="00F70E0F"/>
          <w:p w14:paraId="4523C8CD" w14:textId="77777777" w:rsidR="006A0E38" w:rsidRDefault="006A0E38" w:rsidP="006A0E38"/>
          <w:p w14:paraId="08DB2988" w14:textId="011A0138" w:rsidR="00A4282A" w:rsidRDefault="00AE75BA" w:rsidP="00A4282A">
            <w:r>
              <w:t>Note: Adapted from Lindsey et al., 2009.</w:t>
            </w:r>
          </w:p>
          <w:p w14:paraId="5AD4FDB4" w14:textId="77777777" w:rsidR="00B57D15" w:rsidRDefault="00B57D15" w:rsidP="00F70E0F"/>
        </w:tc>
      </w:tr>
      <w:tr w:rsidR="00E87531" w14:paraId="46F56575" w14:textId="77777777" w:rsidTr="00A36AEB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B1BE" w14:textId="77777777" w:rsidR="00E87531" w:rsidRDefault="003B7B56" w:rsidP="00F70E0F">
            <w:pPr>
              <w:widowControl w:val="0"/>
            </w:pPr>
            <w:r>
              <w:rPr>
                <w:b/>
              </w:rPr>
              <w:t>Cultural competence: relating to p</w:t>
            </w:r>
            <w:r w:rsidR="00E87531" w:rsidRPr="000A54D8">
              <w:rPr>
                <w:b/>
              </w:rPr>
              <w:t xml:space="preserve">eople of </w:t>
            </w:r>
            <w:r>
              <w:rPr>
                <w:b/>
              </w:rPr>
              <w:t>a</w:t>
            </w:r>
            <w:r w:rsidR="00E87531" w:rsidRPr="000A54D8">
              <w:rPr>
                <w:b/>
              </w:rPr>
              <w:t xml:space="preserve"> </w:t>
            </w:r>
            <w:r>
              <w:rPr>
                <w:b/>
              </w:rPr>
              <w:t>different b</w:t>
            </w:r>
            <w:r w:rsidR="00E87531" w:rsidRPr="000A54D8">
              <w:rPr>
                <w:b/>
              </w:rPr>
              <w:t>ackground</w:t>
            </w:r>
          </w:p>
          <w:p w14:paraId="3508A75B" w14:textId="77777777" w:rsidR="00E87531" w:rsidRDefault="00E87531" w:rsidP="00841D29">
            <w:pPr>
              <w:widowControl w:val="0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2607" w14:textId="58302FC8" w:rsidR="00E87531" w:rsidRDefault="00E87531" w:rsidP="00F70E0F">
            <w:r>
              <w:t>A skill that may soon be re</w:t>
            </w:r>
            <w:r w:rsidR="00AE75BA">
              <w:t>quired on a job application is ‘cultural competence</w:t>
            </w:r>
            <w:r>
              <w:t>.</w:t>
            </w:r>
            <w:r w:rsidR="00AE75BA">
              <w:t xml:space="preserve">’ Educators who are culturally competent understand how culture influences personal experience; they are aware of the norms, practices, and values of several different cultures; and they advocate cultural diversity. </w:t>
            </w:r>
          </w:p>
          <w:p w14:paraId="1C5D6B98" w14:textId="4074B428" w:rsidR="00E87531" w:rsidRDefault="00E87531" w:rsidP="0098515A"/>
        </w:tc>
      </w:tr>
      <w:tr w:rsidR="00E87531" w14:paraId="54763490" w14:textId="77777777" w:rsidTr="00A36AEB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1F08" w14:textId="77777777" w:rsidR="00E87531" w:rsidRDefault="00E87531" w:rsidP="00F70E0F">
            <w:pPr>
              <w:widowControl w:val="0"/>
            </w:pPr>
            <w:r w:rsidRPr="000A54D8">
              <w:rPr>
                <w:b/>
              </w:rPr>
              <w:t>Definition of a culturally competent person</w:t>
            </w:r>
          </w:p>
          <w:p w14:paraId="36AD5477" w14:textId="77777777" w:rsidR="00E87531" w:rsidRDefault="00E87531" w:rsidP="00F70E0F">
            <w:pPr>
              <w:widowControl w:val="0"/>
            </w:pPr>
          </w:p>
          <w:p w14:paraId="328E3BEA" w14:textId="77777777" w:rsidR="00E87531" w:rsidRDefault="00E87531" w:rsidP="00F70E0F"/>
          <w:p w14:paraId="159D3BF4" w14:textId="77777777" w:rsidR="00E87531" w:rsidRDefault="00E87531" w:rsidP="00F70E0F">
            <w:pPr>
              <w:widowControl w:val="0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BF1B" w14:textId="77777777" w:rsidR="00E87531" w:rsidRDefault="006D6727" w:rsidP="00F70E0F">
            <w:pPr>
              <w:rPr>
                <w:b/>
              </w:rPr>
            </w:pPr>
            <w:r>
              <w:rPr>
                <w:b/>
              </w:rPr>
              <w:t xml:space="preserve">A culturally competent person . . . </w:t>
            </w:r>
          </w:p>
          <w:p w14:paraId="5FDD42E0" w14:textId="77777777" w:rsidR="006D6727" w:rsidRDefault="006D6727" w:rsidP="00F70E0F"/>
          <w:p w14:paraId="465B83EF" w14:textId="37F198D5" w:rsidR="00E87531" w:rsidRDefault="006D6727" w:rsidP="00E87531">
            <w:pPr>
              <w:numPr>
                <w:ilvl w:val="0"/>
                <w:numId w:val="3"/>
              </w:numPr>
              <w:ind w:hanging="360"/>
              <w:contextualSpacing/>
            </w:pPr>
            <w:r>
              <w:rPr>
                <w:b/>
              </w:rPr>
              <w:t>i</w:t>
            </w:r>
            <w:r w:rsidR="00E87531" w:rsidRPr="000A54D8">
              <w:rPr>
                <w:b/>
              </w:rPr>
              <w:t>s actively engaged</w:t>
            </w:r>
            <w:r w:rsidR="00E87531">
              <w:t xml:space="preserve"> in the pr</w:t>
            </w:r>
            <w:r w:rsidR="00AE75BA">
              <w:t>ocess of becoming aware of his or her</w:t>
            </w:r>
            <w:r w:rsidR="00E87531">
              <w:t xml:space="preserve"> </w:t>
            </w:r>
            <w:r w:rsidR="00E87531" w:rsidRPr="000A54D8">
              <w:rPr>
                <w:b/>
              </w:rPr>
              <w:t>own</w:t>
            </w:r>
            <w:r w:rsidR="00E87531">
              <w:t xml:space="preserve"> assumptions about human behavior, </w:t>
            </w:r>
            <w:r w:rsidR="00E87531">
              <w:lastRenderedPageBreak/>
              <w:t>values, biases, preconceive</w:t>
            </w:r>
            <w:r>
              <w:t>d notions, personal limitations;</w:t>
            </w:r>
          </w:p>
          <w:p w14:paraId="3FE14BA1" w14:textId="77777777" w:rsidR="00E87531" w:rsidRDefault="006D6727" w:rsidP="00E87531">
            <w:pPr>
              <w:numPr>
                <w:ilvl w:val="0"/>
                <w:numId w:val="3"/>
              </w:numPr>
              <w:ind w:hanging="360"/>
              <w:contextualSpacing/>
            </w:pPr>
            <w:r>
              <w:t>a</w:t>
            </w:r>
            <w:r w:rsidR="00E87531">
              <w:t xml:space="preserve">ctively attempts to understand the worldview of </w:t>
            </w:r>
            <w:r w:rsidR="00E87531" w:rsidRPr="000A54D8">
              <w:rPr>
                <w:b/>
              </w:rPr>
              <w:t>others</w:t>
            </w:r>
            <w:r w:rsidR="00F85576" w:rsidRPr="006D6727">
              <w:t>;</w:t>
            </w:r>
          </w:p>
          <w:p w14:paraId="411F373B" w14:textId="77777777" w:rsidR="00E87531" w:rsidRDefault="006D6727" w:rsidP="00E87531">
            <w:pPr>
              <w:numPr>
                <w:ilvl w:val="0"/>
                <w:numId w:val="3"/>
              </w:numPr>
              <w:ind w:hanging="360"/>
              <w:contextualSpacing/>
            </w:pPr>
            <w:r>
              <w:t>i</w:t>
            </w:r>
            <w:r w:rsidR="00E87531">
              <w:t xml:space="preserve">s in the process of actively developing and practicing appropriate, relevant, and sensitive intervention strategies and </w:t>
            </w:r>
            <w:r w:rsidR="00E87531" w:rsidRPr="000A54D8">
              <w:rPr>
                <w:b/>
              </w:rPr>
              <w:t>skills</w:t>
            </w:r>
            <w:r>
              <w:rPr>
                <w:b/>
              </w:rPr>
              <w:t>.</w:t>
            </w:r>
          </w:p>
          <w:p w14:paraId="6596A0CE" w14:textId="77777777" w:rsidR="00E87531" w:rsidRDefault="00E87531" w:rsidP="00F70E0F"/>
          <w:p w14:paraId="5EA3FEE3" w14:textId="7DE3F4DD" w:rsidR="00E87531" w:rsidRDefault="00AE75BA" w:rsidP="00AE75BA">
            <w:r>
              <w:t xml:space="preserve">Note: These ideas were shared by </w:t>
            </w:r>
            <w:r w:rsidR="00E87531">
              <w:t>Shannon Chavez-</w:t>
            </w:r>
            <w:proofErr w:type="spellStart"/>
            <w:r w:rsidR="00E87531">
              <w:t>Korell</w:t>
            </w:r>
            <w:proofErr w:type="spellEnd"/>
            <w:r w:rsidR="00E87531">
              <w:t>, Uni</w:t>
            </w:r>
            <w:r>
              <w:t>versity of Wisconsin-Milwaukee;</w:t>
            </w:r>
            <w:r w:rsidR="00E87531">
              <w:t xml:space="preserve"> June 30, 2015</w:t>
            </w:r>
            <w:r>
              <w:t>.</w:t>
            </w:r>
          </w:p>
        </w:tc>
      </w:tr>
      <w:tr w:rsidR="00E87531" w14:paraId="6BE20D66" w14:textId="77777777" w:rsidTr="00A36AEB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59F1" w14:textId="77777777" w:rsidR="00E87531" w:rsidRDefault="003C4A84" w:rsidP="00F70E0F">
            <w:pPr>
              <w:widowControl w:val="0"/>
            </w:pPr>
            <w:r>
              <w:rPr>
                <w:b/>
              </w:rPr>
              <w:lastRenderedPageBreak/>
              <w:t>Culturally responsive practice in the c</w:t>
            </w:r>
            <w:r w:rsidR="00E87531" w:rsidRPr="000A54D8">
              <w:rPr>
                <w:b/>
              </w:rPr>
              <w:t>lassroom</w:t>
            </w:r>
          </w:p>
          <w:p w14:paraId="75466663" w14:textId="77777777" w:rsidR="00E87531" w:rsidRDefault="00E87531" w:rsidP="00F70E0F">
            <w:pPr>
              <w:widowControl w:val="0"/>
            </w:pPr>
          </w:p>
          <w:p w14:paraId="28D2DD20" w14:textId="77777777" w:rsidR="00E87531" w:rsidRDefault="00E87531" w:rsidP="00F70E0F">
            <w:pPr>
              <w:widowControl w:val="0"/>
            </w:pPr>
          </w:p>
          <w:p w14:paraId="3C79E386" w14:textId="77777777" w:rsidR="00E87531" w:rsidRDefault="00E87531" w:rsidP="00F70E0F">
            <w:pPr>
              <w:widowControl w:val="0"/>
            </w:pPr>
          </w:p>
          <w:p w14:paraId="2B1A6FC9" w14:textId="77777777" w:rsidR="00E87531" w:rsidRDefault="00E87531" w:rsidP="00F70E0F">
            <w:pPr>
              <w:widowControl w:val="0"/>
            </w:pPr>
          </w:p>
          <w:p w14:paraId="303F3F46" w14:textId="77777777" w:rsidR="00E87531" w:rsidRDefault="00E87531" w:rsidP="00F70E0F">
            <w:pPr>
              <w:widowControl w:val="0"/>
            </w:pPr>
          </w:p>
          <w:p w14:paraId="056B1E53" w14:textId="77777777" w:rsidR="00E87531" w:rsidRDefault="00E87531" w:rsidP="00F70E0F">
            <w:pPr>
              <w:widowControl w:val="0"/>
            </w:pPr>
          </w:p>
          <w:p w14:paraId="79770AF9" w14:textId="77777777" w:rsidR="00E87531" w:rsidRDefault="00E87531" w:rsidP="00F70E0F">
            <w:pPr>
              <w:widowControl w:val="0"/>
            </w:pPr>
          </w:p>
          <w:p w14:paraId="66ECF4D5" w14:textId="77777777" w:rsidR="00E87531" w:rsidRDefault="00E87531" w:rsidP="00F70E0F">
            <w:pPr>
              <w:widowControl w:val="0"/>
            </w:pPr>
          </w:p>
          <w:p w14:paraId="2B796B51" w14:textId="77777777" w:rsidR="00E87531" w:rsidRDefault="00E87531" w:rsidP="00F70E0F">
            <w:pPr>
              <w:widowControl w:val="0"/>
            </w:pPr>
          </w:p>
          <w:p w14:paraId="6C16D764" w14:textId="77777777" w:rsidR="00E87531" w:rsidRDefault="00E87531" w:rsidP="00F70E0F">
            <w:pPr>
              <w:widowControl w:val="0"/>
            </w:pPr>
          </w:p>
          <w:p w14:paraId="435216C8" w14:textId="77777777" w:rsidR="00E87531" w:rsidRDefault="00E87531" w:rsidP="00F70E0F">
            <w:pPr>
              <w:widowControl w:val="0"/>
            </w:pPr>
          </w:p>
          <w:p w14:paraId="3F40CF72" w14:textId="77777777" w:rsidR="00E87531" w:rsidRDefault="00E87531" w:rsidP="00F70E0F">
            <w:pPr>
              <w:widowControl w:val="0"/>
            </w:pPr>
          </w:p>
          <w:p w14:paraId="34632B9F" w14:textId="77777777" w:rsidR="00E87531" w:rsidRDefault="00E87531" w:rsidP="00F70E0F">
            <w:pPr>
              <w:widowControl w:val="0"/>
            </w:pPr>
          </w:p>
          <w:p w14:paraId="5B8D391E" w14:textId="77777777" w:rsidR="00E87531" w:rsidRDefault="00E87531" w:rsidP="00F70E0F">
            <w:pPr>
              <w:widowControl w:val="0"/>
            </w:pPr>
          </w:p>
          <w:p w14:paraId="53D5233E" w14:textId="77777777" w:rsidR="00E87531" w:rsidRDefault="00E87531" w:rsidP="00F70E0F">
            <w:pPr>
              <w:widowControl w:val="0"/>
            </w:pPr>
          </w:p>
          <w:p w14:paraId="32B5D837" w14:textId="77777777" w:rsidR="00E87531" w:rsidRDefault="00E87531" w:rsidP="00F70E0F">
            <w:pPr>
              <w:widowControl w:val="0"/>
            </w:pPr>
          </w:p>
          <w:p w14:paraId="053495E5" w14:textId="77777777" w:rsidR="00E87531" w:rsidRDefault="00E87531" w:rsidP="00F70E0F">
            <w:pPr>
              <w:widowControl w:val="0"/>
            </w:pP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127C" w14:textId="226011EE" w:rsidR="00E87531" w:rsidRDefault="00E87531" w:rsidP="00F70E0F">
            <w:r>
              <w:t>C</w:t>
            </w:r>
            <w:r w:rsidR="00223217">
              <w:t xml:space="preserve">ulturally responsive teaching puts cultural competence into practice in classrooms. </w:t>
            </w:r>
            <w:r w:rsidR="00AE75BA">
              <w:t>Geneva Gay</w:t>
            </w:r>
            <w:r w:rsidR="00A36AEB">
              <w:t xml:space="preserve"> </w:t>
            </w:r>
            <w:r>
              <w:t xml:space="preserve">defines culturally responsive teaching as </w:t>
            </w:r>
            <w:r w:rsidR="00A36AEB">
              <w:t xml:space="preserve">the practice of </w:t>
            </w:r>
            <w:r>
              <w:t>using the cultural knowledge, prior experiences, and performance styles of diverse students to make learning more appropriate and effective for them; it teaches to and through students' strengths.</w:t>
            </w:r>
            <w:r w:rsidR="005A7228">
              <w:t xml:space="preserve"> C</w:t>
            </w:r>
            <w:r>
              <w:t xml:space="preserve">ulturally responsive teaching </w:t>
            </w:r>
            <w:r w:rsidR="00A36AEB">
              <w:t>involves several key practices:</w:t>
            </w:r>
          </w:p>
          <w:p w14:paraId="063D03E7" w14:textId="77777777" w:rsidR="005A7228" w:rsidRDefault="005A7228" w:rsidP="00F70E0F"/>
          <w:p w14:paraId="6DCB7B20" w14:textId="0BDCB9C9" w:rsidR="00E87531" w:rsidRDefault="00E87531" w:rsidP="002C7260">
            <w:pPr>
              <w:pStyle w:val="ListParagraph"/>
              <w:numPr>
                <w:ilvl w:val="0"/>
                <w:numId w:val="8"/>
              </w:numPr>
            </w:pPr>
            <w:r>
              <w:t>Communicating high expectations</w:t>
            </w:r>
            <w:r w:rsidR="00A36AEB">
              <w:t xml:space="preserve"> and giving students the support needed to meet them</w:t>
            </w:r>
          </w:p>
          <w:p w14:paraId="323F5C08" w14:textId="760B8A32" w:rsidR="00E87531" w:rsidRDefault="00A36AEB" w:rsidP="002C7260">
            <w:pPr>
              <w:pStyle w:val="ListParagraph"/>
              <w:numPr>
                <w:ilvl w:val="0"/>
                <w:numId w:val="8"/>
              </w:numPr>
            </w:pPr>
            <w:r>
              <w:t>Helping student learn</w:t>
            </w:r>
            <w:r w:rsidR="00E87531">
              <w:t xml:space="preserve"> within the context of </w:t>
            </w:r>
            <w:r>
              <w:t xml:space="preserve">their own </w:t>
            </w:r>
            <w:r w:rsidR="00E87531">
              <w:t>culture</w:t>
            </w:r>
            <w:r>
              <w:t>.</w:t>
            </w:r>
          </w:p>
          <w:p w14:paraId="33C19A99" w14:textId="3D3AC2D7" w:rsidR="00A36AEB" w:rsidRDefault="00A36AEB" w:rsidP="002C7260">
            <w:pPr>
              <w:pStyle w:val="ListParagraph"/>
              <w:numPr>
                <w:ilvl w:val="0"/>
                <w:numId w:val="8"/>
              </w:numPr>
            </w:pPr>
            <w:r>
              <w:t>Teaching students about various different cultures.</w:t>
            </w:r>
          </w:p>
          <w:p w14:paraId="1251819C" w14:textId="08278681" w:rsidR="00A36AEB" w:rsidRDefault="00A36AEB" w:rsidP="002C7260">
            <w:pPr>
              <w:pStyle w:val="ListParagraph"/>
              <w:numPr>
                <w:ilvl w:val="0"/>
                <w:numId w:val="8"/>
              </w:numPr>
            </w:pPr>
            <w:r>
              <w:t xml:space="preserve">Grounding curriculum in culturally relevant </w:t>
            </w:r>
            <w:r w:rsidR="00EC0D20">
              <w:t>beliefs, texts, art forms, and so on.</w:t>
            </w:r>
          </w:p>
          <w:p w14:paraId="647A8043" w14:textId="241899F3" w:rsidR="00E87531" w:rsidRDefault="00EC0D20" w:rsidP="002C7260">
            <w:pPr>
              <w:pStyle w:val="ListParagraph"/>
              <w:numPr>
                <w:ilvl w:val="0"/>
                <w:numId w:val="8"/>
              </w:numPr>
            </w:pPr>
            <w:r>
              <w:t>Viewing t</w:t>
            </w:r>
            <w:r w:rsidR="00E87531">
              <w:t>eachers as facilitators</w:t>
            </w:r>
            <w:r>
              <w:t>.</w:t>
            </w:r>
          </w:p>
          <w:p w14:paraId="4A977E67" w14:textId="6ED93189" w:rsidR="00E87531" w:rsidRDefault="00EC0D20" w:rsidP="002C7260">
            <w:pPr>
              <w:pStyle w:val="ListParagraph"/>
              <w:numPr>
                <w:ilvl w:val="0"/>
                <w:numId w:val="8"/>
              </w:numPr>
            </w:pPr>
            <w:r>
              <w:t>Focusing instruction on students’ interests and strengths.</w:t>
            </w:r>
          </w:p>
          <w:p w14:paraId="30D91D1F" w14:textId="2EC5D851" w:rsidR="00E87531" w:rsidRDefault="00EC0D20" w:rsidP="002C7260">
            <w:pPr>
              <w:pStyle w:val="ListParagraph"/>
              <w:numPr>
                <w:ilvl w:val="0"/>
                <w:numId w:val="8"/>
              </w:numPr>
            </w:pPr>
            <w:r>
              <w:t>Communicating p</w:t>
            </w:r>
            <w:r w:rsidR="00E87531">
              <w:t>osit</w:t>
            </w:r>
            <w:r>
              <w:t>ive perspectives about parents and</w:t>
            </w:r>
            <w:r w:rsidR="005A7228">
              <w:t xml:space="preserve"> families</w:t>
            </w:r>
            <w:r>
              <w:t>.</w:t>
            </w:r>
          </w:p>
          <w:p w14:paraId="4DA5C777" w14:textId="4830A19B" w:rsidR="00E87531" w:rsidRDefault="00E87531" w:rsidP="00F70E0F"/>
        </w:tc>
      </w:tr>
    </w:tbl>
    <w:p w14:paraId="5A28F4D8" w14:textId="5BE5E66E" w:rsidR="00E87531" w:rsidRDefault="00E87531" w:rsidP="00E87531"/>
    <w:p w14:paraId="1E8109E3" w14:textId="77777777" w:rsidR="0059456D" w:rsidRDefault="0059456D" w:rsidP="00E87531"/>
    <w:p w14:paraId="57651B6F" w14:textId="77777777" w:rsidR="0059456D" w:rsidRDefault="0059456D" w:rsidP="00E87531"/>
    <w:p w14:paraId="5CDA6696" w14:textId="77777777" w:rsidR="0059456D" w:rsidRDefault="0059456D" w:rsidP="00E87531"/>
    <w:p w14:paraId="419E6C99" w14:textId="77777777" w:rsidR="0059456D" w:rsidRDefault="0059456D" w:rsidP="00E87531"/>
    <w:p w14:paraId="75B8F6D5" w14:textId="77777777" w:rsidR="0059456D" w:rsidRDefault="0059456D" w:rsidP="00E87531"/>
    <w:p w14:paraId="53E22DA2" w14:textId="77777777" w:rsidR="0059456D" w:rsidRDefault="0059456D" w:rsidP="00E87531"/>
    <w:p w14:paraId="26FD7B31" w14:textId="77777777" w:rsidR="0059456D" w:rsidRDefault="0059456D" w:rsidP="00E87531"/>
    <w:p w14:paraId="656BCA62" w14:textId="77777777" w:rsidR="0059456D" w:rsidRDefault="0059456D" w:rsidP="00E87531"/>
    <w:p w14:paraId="73400BA8" w14:textId="77777777" w:rsidR="0059456D" w:rsidRDefault="0059456D" w:rsidP="00E87531"/>
    <w:p w14:paraId="7B0C281C" w14:textId="6AAED412" w:rsidR="0059456D" w:rsidRPr="0059456D" w:rsidRDefault="0059456D" w:rsidP="00E87531">
      <w:pPr>
        <w:rPr>
          <w:b/>
          <w:sz w:val="24"/>
          <w:szCs w:val="24"/>
        </w:rPr>
      </w:pPr>
      <w:r w:rsidRPr="0059456D">
        <w:rPr>
          <w:b/>
          <w:sz w:val="24"/>
          <w:szCs w:val="24"/>
        </w:rPr>
        <w:lastRenderedPageBreak/>
        <w:t>Activity</w:t>
      </w:r>
    </w:p>
    <w:p w14:paraId="1C6BB296" w14:textId="77777777" w:rsidR="0059456D" w:rsidRDefault="0059456D" w:rsidP="00E87531"/>
    <w:tbl>
      <w:tblPr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510"/>
      </w:tblGrid>
      <w:tr w:rsidR="00EC0D20" w14:paraId="6236D7FC" w14:textId="77777777" w:rsidTr="00EC0D20">
        <w:trPr>
          <w:trHeight w:val="32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E6CC" w14:textId="77777777" w:rsidR="00E87531" w:rsidRDefault="00E87531" w:rsidP="00F70E0F">
            <w:pPr>
              <w:widowControl w:val="0"/>
              <w:rPr>
                <w:b/>
              </w:rPr>
            </w:pPr>
            <w:r w:rsidRPr="000A54D8">
              <w:rPr>
                <w:b/>
              </w:rPr>
              <w:t>ACTIVITY - What’s in a Name?</w:t>
            </w:r>
          </w:p>
          <w:p w14:paraId="44B40244" w14:textId="77777777" w:rsidR="00EE3103" w:rsidRDefault="00EE3103" w:rsidP="00F70E0F">
            <w:pPr>
              <w:widowControl w:val="0"/>
            </w:pPr>
          </w:p>
          <w:p w14:paraId="48C7C2BE" w14:textId="77777777" w:rsidR="00E87531" w:rsidRDefault="00E87531" w:rsidP="00E87531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>Introductions: share your full name with the small group</w:t>
            </w:r>
            <w:r w:rsidR="00EE3103">
              <w:t>.</w:t>
            </w:r>
          </w:p>
          <w:p w14:paraId="3286DD46" w14:textId="48FD924B" w:rsidR="00E87531" w:rsidRDefault="00E87531" w:rsidP="00E87531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>What does yo</w:t>
            </w:r>
            <w:r w:rsidR="00EC0D20">
              <w:t xml:space="preserve">ur full name mean to you personally and professionally? What does it mean in relationship to </w:t>
            </w:r>
            <w:r>
              <w:t>you</w:t>
            </w:r>
            <w:r w:rsidR="00EC0D20">
              <w:t>r network of friends and family</w:t>
            </w:r>
            <w:r>
              <w:t xml:space="preserve">? </w:t>
            </w:r>
          </w:p>
          <w:p w14:paraId="7AE38FA2" w14:textId="42E22D86" w:rsidR="00E87531" w:rsidRDefault="00E87531" w:rsidP="00E87531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 xml:space="preserve">How does your </w:t>
            </w:r>
            <w:r w:rsidR="00EC0D20">
              <w:t xml:space="preserve">full </w:t>
            </w:r>
            <w:r>
              <w:t xml:space="preserve">name relate to your cultural heritage? </w:t>
            </w:r>
          </w:p>
          <w:p w14:paraId="070A2574" w14:textId="6AE06EFF" w:rsidR="00E87531" w:rsidRDefault="00EC0D20" w:rsidP="00E87531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 xml:space="preserve">Share your reflections with the small </w:t>
            </w:r>
            <w:r w:rsidR="00E87531">
              <w:t>group</w:t>
            </w:r>
            <w:r w:rsidR="00EE3103">
              <w:t>.</w:t>
            </w:r>
          </w:p>
          <w:p w14:paraId="2B4B8053" w14:textId="77777777" w:rsidR="000D5397" w:rsidRDefault="000D5397" w:rsidP="000D5397">
            <w:pPr>
              <w:widowControl w:val="0"/>
              <w:contextualSpacing/>
            </w:pPr>
          </w:p>
          <w:p w14:paraId="22201CB2" w14:textId="77777777" w:rsidR="000D5397" w:rsidRDefault="000D5397" w:rsidP="00EC0D20">
            <w:pPr>
              <w:widowControl w:val="0"/>
              <w:contextualSpacing/>
            </w:pPr>
          </w:p>
        </w:tc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A936" w14:textId="77777777" w:rsidR="00E87531" w:rsidRDefault="00E87531" w:rsidP="00F70E0F">
            <w:pPr>
              <w:rPr>
                <w:b/>
              </w:rPr>
            </w:pPr>
            <w:r w:rsidRPr="000A54D8">
              <w:rPr>
                <w:b/>
              </w:rPr>
              <w:t>Observations o</w:t>
            </w:r>
            <w:r w:rsidR="00A2212E">
              <w:rPr>
                <w:b/>
              </w:rPr>
              <w:t>n</w:t>
            </w:r>
            <w:r w:rsidRPr="000A54D8">
              <w:rPr>
                <w:b/>
              </w:rPr>
              <w:t xml:space="preserve"> Identity:</w:t>
            </w:r>
          </w:p>
          <w:p w14:paraId="38DD6093" w14:textId="77777777" w:rsidR="00EE3103" w:rsidRDefault="00EE3103" w:rsidP="00F70E0F"/>
          <w:p w14:paraId="1FCEA6B8" w14:textId="77777777" w:rsidR="00E87531" w:rsidRDefault="00E87531" w:rsidP="00E87531">
            <w:pPr>
              <w:numPr>
                <w:ilvl w:val="0"/>
                <w:numId w:val="5"/>
              </w:numPr>
              <w:ind w:hanging="360"/>
              <w:contextualSpacing/>
            </w:pPr>
            <w:r>
              <w:t>All of us have multiple identities</w:t>
            </w:r>
            <w:r w:rsidR="00EE3103">
              <w:t>.</w:t>
            </w:r>
          </w:p>
          <w:p w14:paraId="55DEA6FA" w14:textId="6353F2AE" w:rsidR="00E87531" w:rsidRDefault="00E87531" w:rsidP="00E87531">
            <w:pPr>
              <w:numPr>
                <w:ilvl w:val="0"/>
                <w:numId w:val="5"/>
              </w:numPr>
              <w:ind w:hanging="360"/>
              <w:contextualSpacing/>
            </w:pPr>
            <w:r>
              <w:t>We often</w:t>
            </w:r>
            <w:r w:rsidR="00EC0D20">
              <w:t xml:space="preserve"> experience contradictory feelings </w:t>
            </w:r>
            <w:r>
              <w:t xml:space="preserve">about </w:t>
            </w:r>
            <w:r w:rsidR="00EC0D20">
              <w:t>having others pinpoint our identities.</w:t>
            </w:r>
          </w:p>
          <w:p w14:paraId="59B89F42" w14:textId="51A73CA5" w:rsidR="00E87531" w:rsidRDefault="00EC0D20" w:rsidP="00E87531">
            <w:pPr>
              <w:numPr>
                <w:ilvl w:val="0"/>
                <w:numId w:val="5"/>
              </w:numPr>
              <w:ind w:hanging="360"/>
              <w:contextualSpacing/>
            </w:pPr>
            <w:r>
              <w:t>Some identities confer benefits; other carry costs.</w:t>
            </w:r>
          </w:p>
          <w:p w14:paraId="1AC28A09" w14:textId="046D668F" w:rsidR="00E87531" w:rsidRDefault="00EC0D20" w:rsidP="00E87531">
            <w:pPr>
              <w:numPr>
                <w:ilvl w:val="0"/>
                <w:numId w:val="5"/>
              </w:numPr>
              <w:ind w:hanging="360"/>
              <w:contextualSpacing/>
            </w:pPr>
            <w:r>
              <w:t xml:space="preserve">Some people have a choice about whether a part of their </w:t>
            </w:r>
            <w:r w:rsidR="00E87531">
              <w:t xml:space="preserve">identity </w:t>
            </w:r>
            <w:r>
              <w:t>can stay</w:t>
            </w:r>
            <w:r w:rsidR="00E87531">
              <w:t xml:space="preserve"> hidden</w:t>
            </w:r>
            <w:r w:rsidR="00EE3103">
              <w:t>.</w:t>
            </w:r>
            <w:r>
              <w:t xml:space="preserve"> Others don’t.</w:t>
            </w:r>
          </w:p>
          <w:p w14:paraId="343633B1" w14:textId="77777777" w:rsidR="00E87531" w:rsidRDefault="00E87531" w:rsidP="00E87531">
            <w:pPr>
              <w:numPr>
                <w:ilvl w:val="0"/>
                <w:numId w:val="5"/>
              </w:numPr>
              <w:ind w:hanging="360"/>
              <w:contextualSpacing/>
            </w:pPr>
            <w:r>
              <w:t>Individual identities are always changing and developing</w:t>
            </w:r>
            <w:r w:rsidR="00EE3103">
              <w:t>.</w:t>
            </w:r>
          </w:p>
          <w:p w14:paraId="74043A36" w14:textId="6D192DAB" w:rsidR="00EC0D20" w:rsidRDefault="00EC0D20" w:rsidP="00E87531">
            <w:pPr>
              <w:numPr>
                <w:ilvl w:val="0"/>
                <w:numId w:val="5"/>
              </w:numPr>
              <w:ind w:hanging="360"/>
              <w:contextualSpacing/>
            </w:pPr>
            <w:r>
              <w:t>People with different identities can nevertheless share goals, aspirations, beliefs, and values.</w:t>
            </w:r>
          </w:p>
          <w:p w14:paraId="5E8A909F" w14:textId="77777777" w:rsidR="00E87531" w:rsidRDefault="00E87531" w:rsidP="00F70E0F"/>
          <w:p w14:paraId="04DB0AB8" w14:textId="30F1AAEB" w:rsidR="00E87531" w:rsidRPr="004B2D66" w:rsidRDefault="00EC0D20" w:rsidP="004B2D66">
            <w:pPr>
              <w:widowControl w:val="0"/>
              <w:rPr>
                <w:highlight w:val="yellow"/>
              </w:rPr>
            </w:pPr>
            <w:r>
              <w:t xml:space="preserve">Adapted from a workshop conducted by </w:t>
            </w:r>
            <w:r w:rsidR="004B2D66">
              <w:t>Shannon Chavez-</w:t>
            </w:r>
            <w:proofErr w:type="spellStart"/>
            <w:r w:rsidR="004B2D66">
              <w:t>Korell</w:t>
            </w:r>
            <w:proofErr w:type="spellEnd"/>
            <w:r w:rsidR="004B2D66">
              <w:t>, University of Wisconsin-Mi</w:t>
            </w:r>
            <w:r>
              <w:t>lwaukee</w:t>
            </w:r>
            <w:r w:rsidR="004B2D66">
              <w:t xml:space="preserve"> at the Leading for Social Justice Institute, </w:t>
            </w:r>
            <w:r>
              <w:t>University of Wisconsin-Madison;</w:t>
            </w:r>
            <w:r w:rsidR="004B2D66">
              <w:t xml:space="preserve"> June 30, 201</w:t>
            </w:r>
            <w:r>
              <w:t>5.</w:t>
            </w:r>
          </w:p>
        </w:tc>
      </w:tr>
    </w:tbl>
    <w:p w14:paraId="03AD5319" w14:textId="77777777" w:rsidR="00962386" w:rsidRDefault="00962386" w:rsidP="00A3409F">
      <w:pPr>
        <w:rPr>
          <w:b/>
        </w:rPr>
      </w:pPr>
      <w:bookmarkStart w:id="2" w:name="h.8lrjudy4o0j9" w:colFirst="0" w:colLast="0"/>
      <w:bookmarkStart w:id="3" w:name="h.s69log1gtk81" w:colFirst="0" w:colLast="0"/>
      <w:bookmarkStart w:id="4" w:name="h.vx4db3j9st2d" w:colFirst="0" w:colLast="0"/>
      <w:bookmarkStart w:id="5" w:name="h.5f24yz2qja8e" w:colFirst="0" w:colLast="0"/>
      <w:bookmarkEnd w:id="2"/>
      <w:bookmarkEnd w:id="3"/>
      <w:bookmarkEnd w:id="4"/>
      <w:bookmarkEnd w:id="5"/>
    </w:p>
    <w:p w14:paraId="2B598913" w14:textId="72079682" w:rsidR="00962386" w:rsidRDefault="0059456D" w:rsidP="00962386">
      <w:pPr>
        <w:widowControl w:val="0"/>
      </w:pPr>
      <w:r>
        <w:rPr>
          <w:b/>
        </w:rPr>
        <w:t>Resources to Help Classroom T</w:t>
      </w:r>
      <w:r w:rsidR="00962386" w:rsidRPr="000A54D8">
        <w:rPr>
          <w:b/>
        </w:rPr>
        <w:t>eachers</w:t>
      </w:r>
    </w:p>
    <w:p w14:paraId="24EC7113" w14:textId="77777777" w:rsidR="00962386" w:rsidRDefault="00962386" w:rsidP="00962386">
      <w:pPr>
        <w:widowControl w:val="0"/>
      </w:pPr>
    </w:p>
    <w:p w14:paraId="1DBAB135" w14:textId="77777777" w:rsidR="00962386" w:rsidRDefault="00962386" w:rsidP="00962386">
      <w:pPr>
        <w:widowControl w:val="0"/>
      </w:pPr>
      <w:r w:rsidRPr="008D5EE6">
        <w:rPr>
          <w:b/>
          <w:color w:val="3D3D3D"/>
          <w:highlight w:val="white"/>
        </w:rPr>
        <w:t>NEA’s Diversity toolkit</w:t>
      </w:r>
      <w:r w:rsidR="001B3A7C">
        <w:rPr>
          <w:color w:val="3D3D3D"/>
          <w:highlight w:val="white"/>
        </w:rPr>
        <w:t>: -</w:t>
      </w:r>
      <w:r w:rsidR="008D5EE6">
        <w:rPr>
          <w:color w:val="3D3D3D"/>
          <w:highlight w:val="white"/>
        </w:rPr>
        <w:t xml:space="preserve"> </w:t>
      </w:r>
      <w:r w:rsidRPr="000A54D8">
        <w:rPr>
          <w:color w:val="3D3D3D"/>
          <w:highlight w:val="white"/>
        </w:rPr>
        <w:t>provides an introduction to the mult</w:t>
      </w:r>
      <w:bookmarkStart w:id="6" w:name="_GoBack"/>
      <w:bookmarkEnd w:id="6"/>
      <w:r w:rsidRPr="000A54D8">
        <w:rPr>
          <w:color w:val="3D3D3D"/>
          <w:highlight w:val="white"/>
        </w:rPr>
        <w:t>iple facets of diversity. It offers basic information, a short list of strategies and tools, and suggestions for how to find out more.</w:t>
      </w:r>
    </w:p>
    <w:p w14:paraId="1E2D06C9" w14:textId="77777777" w:rsidR="00962386" w:rsidRDefault="004D17A3" w:rsidP="00962386">
      <w:pPr>
        <w:widowControl w:val="0"/>
      </w:pPr>
      <w:hyperlink r:id="rId7">
        <w:r w:rsidR="00962386" w:rsidRPr="000A54D8">
          <w:rPr>
            <w:b/>
            <w:color w:val="1155CC"/>
            <w:u w:val="single"/>
          </w:rPr>
          <w:t>http://www.nea.org/tools/diversity-toolkit.html</w:t>
        </w:r>
      </w:hyperlink>
      <w:r w:rsidR="00962386" w:rsidRPr="000A54D8">
        <w:rPr>
          <w:b/>
        </w:rPr>
        <w:t xml:space="preserve"> </w:t>
      </w:r>
    </w:p>
    <w:p w14:paraId="406A2044" w14:textId="77777777" w:rsidR="00962386" w:rsidRDefault="00962386" w:rsidP="00962386">
      <w:pPr>
        <w:widowControl w:val="0"/>
      </w:pPr>
    </w:p>
    <w:p w14:paraId="4264A2F9" w14:textId="77777777" w:rsidR="00962386" w:rsidRDefault="00962386" w:rsidP="00962386">
      <w:pPr>
        <w:widowControl w:val="0"/>
      </w:pPr>
      <w:proofErr w:type="spellStart"/>
      <w:r w:rsidRPr="008D5EE6">
        <w:rPr>
          <w:b/>
        </w:rPr>
        <w:t>Edutopia</w:t>
      </w:r>
      <w:proofErr w:type="spellEnd"/>
      <w:r>
        <w:t xml:space="preserve"> </w:t>
      </w:r>
      <w:r w:rsidR="008D5EE6">
        <w:t>-</w:t>
      </w:r>
      <w:r w:rsidR="00694FFD">
        <w:t xml:space="preserve"> provides information on relationship-</w:t>
      </w:r>
      <w:r>
        <w:t>building culturally responsive classrooms</w:t>
      </w:r>
      <w:r w:rsidR="00694FFD">
        <w:t>.</w:t>
      </w:r>
    </w:p>
    <w:p w14:paraId="29CD153B" w14:textId="77777777" w:rsidR="00962386" w:rsidRDefault="004D17A3" w:rsidP="00962386">
      <w:pPr>
        <w:widowControl w:val="0"/>
      </w:pPr>
      <w:hyperlink r:id="rId8">
        <w:r w:rsidR="00962386" w:rsidRPr="000A54D8">
          <w:rPr>
            <w:b/>
            <w:color w:val="1155CC"/>
            <w:u w:val="single"/>
          </w:rPr>
          <w:t>http://www.edutopia.org/blog/relationship-building-culturally-responsive-classroom-todd-finley</w:t>
        </w:r>
      </w:hyperlink>
      <w:r w:rsidR="00962386" w:rsidRPr="000A54D8">
        <w:rPr>
          <w:b/>
        </w:rPr>
        <w:t xml:space="preserve"> </w:t>
      </w:r>
    </w:p>
    <w:p w14:paraId="3BB44C0E" w14:textId="77777777" w:rsidR="00962386" w:rsidRDefault="00962386" w:rsidP="00962386">
      <w:pPr>
        <w:widowControl w:val="0"/>
      </w:pPr>
    </w:p>
    <w:p w14:paraId="0ED683D7" w14:textId="77777777" w:rsidR="00962386" w:rsidRDefault="00962386" w:rsidP="00962386">
      <w:pPr>
        <w:widowControl w:val="0"/>
      </w:pPr>
      <w:r w:rsidRPr="008D5EE6">
        <w:rPr>
          <w:b/>
        </w:rPr>
        <w:t xml:space="preserve">PBIS Resources for Equity and Culturally Responsive Practices </w:t>
      </w:r>
      <w:r w:rsidR="00D362FA" w:rsidRPr="00D362FA">
        <w:t>– provides practice guides for educators, including leadership teams.</w:t>
      </w:r>
      <w:r w:rsidR="00D362FA">
        <w:t xml:space="preserve"> </w:t>
      </w:r>
      <w:hyperlink r:id="rId9">
        <w:r w:rsidRPr="000A54D8">
          <w:rPr>
            <w:b/>
            <w:color w:val="1155CC"/>
            <w:u w:val="single"/>
          </w:rPr>
          <w:t>http://www.pbis.org/school/equity-pbis</w:t>
        </w:r>
      </w:hyperlink>
    </w:p>
    <w:p w14:paraId="568C7EE9" w14:textId="77777777" w:rsidR="00962386" w:rsidRDefault="00962386" w:rsidP="00A3409F">
      <w:pPr>
        <w:rPr>
          <w:b/>
        </w:rPr>
      </w:pPr>
    </w:p>
    <w:p w14:paraId="66ED8623" w14:textId="77777777" w:rsidR="00962386" w:rsidRDefault="00A4282A" w:rsidP="00A3409F">
      <w:pPr>
        <w:rPr>
          <w:b/>
        </w:rPr>
      </w:pPr>
      <w:r>
        <w:rPr>
          <w:b/>
        </w:rPr>
        <w:t>References</w:t>
      </w:r>
    </w:p>
    <w:p w14:paraId="413FD038" w14:textId="77777777" w:rsidR="00A4282A" w:rsidRDefault="00A4282A" w:rsidP="00A4282A">
      <w:pPr>
        <w:rPr>
          <w:b/>
        </w:rPr>
      </w:pPr>
    </w:p>
    <w:p w14:paraId="0D4BF966" w14:textId="5F220F24" w:rsidR="00223217" w:rsidRDefault="00223217" w:rsidP="00223217">
      <w:pPr>
        <w:ind w:left="720" w:hanging="720"/>
      </w:pPr>
      <w:r>
        <w:t xml:space="preserve">Gay, G. (2000). </w:t>
      </w:r>
      <w:r w:rsidRPr="005A7228">
        <w:rPr>
          <w:i/>
        </w:rPr>
        <w:t>Culturally responsive teaching: Theory, research and practice</w:t>
      </w:r>
      <w:r>
        <w:t>. New York, NY: Teachers College Press.</w:t>
      </w:r>
    </w:p>
    <w:p w14:paraId="64334251" w14:textId="77777777" w:rsidR="00223217" w:rsidRPr="00223217" w:rsidRDefault="00223217" w:rsidP="00A4282A"/>
    <w:p w14:paraId="4823D693" w14:textId="666CEC73" w:rsidR="00A4282A" w:rsidRPr="00A4282A" w:rsidRDefault="00A4282A" w:rsidP="00A4282A">
      <w:pPr>
        <w:ind w:left="720" w:hanging="720"/>
      </w:pPr>
      <w:r>
        <w:t xml:space="preserve">Lindsey, R., Robins, K. N., </w:t>
      </w:r>
      <w:r w:rsidR="006009E5">
        <w:t xml:space="preserve">&amp; </w:t>
      </w:r>
      <w:r>
        <w:t xml:space="preserve">Terrell, R. (2009). </w:t>
      </w:r>
      <w:r>
        <w:rPr>
          <w:i/>
        </w:rPr>
        <w:t>Cultural p</w:t>
      </w:r>
      <w:r w:rsidRPr="000A54D8">
        <w:rPr>
          <w:i/>
        </w:rPr>
        <w:t>rofici</w:t>
      </w:r>
      <w:r>
        <w:rPr>
          <w:i/>
        </w:rPr>
        <w:t>ency - A manual for school l</w:t>
      </w:r>
      <w:r w:rsidRPr="000A54D8">
        <w:rPr>
          <w:i/>
        </w:rPr>
        <w:t>eaders</w:t>
      </w:r>
      <w:r>
        <w:rPr>
          <w:i/>
        </w:rPr>
        <w:t>.</w:t>
      </w:r>
      <w:r>
        <w:t xml:space="preserve"> Thousand Oaks, CA: Corwin.</w:t>
      </w:r>
    </w:p>
    <w:sectPr w:rsidR="00A4282A" w:rsidRPr="00A4282A" w:rsidSect="00D7621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7B94" w14:textId="77777777" w:rsidR="004D17A3" w:rsidRDefault="004D17A3" w:rsidP="00A4282A">
      <w:r>
        <w:separator/>
      </w:r>
    </w:p>
  </w:endnote>
  <w:endnote w:type="continuationSeparator" w:id="0">
    <w:p w14:paraId="332E556F" w14:textId="77777777" w:rsidR="004D17A3" w:rsidRDefault="004D17A3" w:rsidP="00A4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2104" w14:textId="77777777" w:rsidR="00A4282A" w:rsidRDefault="00A4282A" w:rsidP="004A62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04223" w14:textId="77777777" w:rsidR="00A4282A" w:rsidRDefault="00A4282A" w:rsidP="00A42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4A1D" w14:textId="77777777" w:rsidR="00A4282A" w:rsidRDefault="00A4282A" w:rsidP="004A62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56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1A0829" w14:textId="77777777" w:rsidR="00A4282A" w:rsidRDefault="00A4282A" w:rsidP="00A428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8DB07" w14:textId="77777777" w:rsidR="004D17A3" w:rsidRDefault="004D17A3" w:rsidP="00A4282A">
      <w:r>
        <w:separator/>
      </w:r>
    </w:p>
  </w:footnote>
  <w:footnote w:type="continuationSeparator" w:id="0">
    <w:p w14:paraId="05A03106" w14:textId="77777777" w:rsidR="004D17A3" w:rsidRDefault="004D17A3" w:rsidP="00A4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30"/>
    <w:multiLevelType w:val="hybridMultilevel"/>
    <w:tmpl w:val="45E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582"/>
    <w:multiLevelType w:val="multilevel"/>
    <w:tmpl w:val="1794DE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246CBA"/>
    <w:multiLevelType w:val="multilevel"/>
    <w:tmpl w:val="E37CA2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F9D2297"/>
    <w:multiLevelType w:val="multilevel"/>
    <w:tmpl w:val="7944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4D51E6"/>
    <w:multiLevelType w:val="multilevel"/>
    <w:tmpl w:val="305C7E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8C80118"/>
    <w:multiLevelType w:val="multilevel"/>
    <w:tmpl w:val="61C678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7DF654F"/>
    <w:multiLevelType w:val="multilevel"/>
    <w:tmpl w:val="A0C895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D730B4E"/>
    <w:multiLevelType w:val="multilevel"/>
    <w:tmpl w:val="C43CB3C8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1"/>
    <w:rsid w:val="00022EE8"/>
    <w:rsid w:val="000D5397"/>
    <w:rsid w:val="00164D66"/>
    <w:rsid w:val="001B3A7C"/>
    <w:rsid w:val="00223217"/>
    <w:rsid w:val="002C7260"/>
    <w:rsid w:val="002F0200"/>
    <w:rsid w:val="00313BD4"/>
    <w:rsid w:val="00341FCE"/>
    <w:rsid w:val="003B7B56"/>
    <w:rsid w:val="003C4A84"/>
    <w:rsid w:val="004B2D66"/>
    <w:rsid w:val="004D17A3"/>
    <w:rsid w:val="0059456D"/>
    <w:rsid w:val="005A34FD"/>
    <w:rsid w:val="005A7228"/>
    <w:rsid w:val="005B2111"/>
    <w:rsid w:val="005E09B5"/>
    <w:rsid w:val="006009E5"/>
    <w:rsid w:val="00694FFD"/>
    <w:rsid w:val="006A0E38"/>
    <w:rsid w:val="006D6727"/>
    <w:rsid w:val="006F2BE5"/>
    <w:rsid w:val="007D028A"/>
    <w:rsid w:val="00831C05"/>
    <w:rsid w:val="00840F0F"/>
    <w:rsid w:val="00841D29"/>
    <w:rsid w:val="008C6E81"/>
    <w:rsid w:val="008D5EE6"/>
    <w:rsid w:val="009142C2"/>
    <w:rsid w:val="00927E28"/>
    <w:rsid w:val="00962386"/>
    <w:rsid w:val="00971A5E"/>
    <w:rsid w:val="0098515A"/>
    <w:rsid w:val="009F0738"/>
    <w:rsid w:val="00A2212E"/>
    <w:rsid w:val="00A3409F"/>
    <w:rsid w:val="00A36AEB"/>
    <w:rsid w:val="00A4282A"/>
    <w:rsid w:val="00AE75BA"/>
    <w:rsid w:val="00B16388"/>
    <w:rsid w:val="00B57D15"/>
    <w:rsid w:val="00BA72B3"/>
    <w:rsid w:val="00D362FA"/>
    <w:rsid w:val="00D76216"/>
    <w:rsid w:val="00E03BAD"/>
    <w:rsid w:val="00E52ECD"/>
    <w:rsid w:val="00E87531"/>
    <w:rsid w:val="00EC0D20"/>
    <w:rsid w:val="00EE3103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4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87531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E87531"/>
    <w:pPr>
      <w:keepNext/>
      <w:keepLines/>
      <w:spacing w:before="100" w:after="1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7531"/>
    <w:rPr>
      <w:rFonts w:ascii="Calibri" w:eastAsia="Calibri" w:hAnsi="Calibri" w:cs="Calibri"/>
      <w:b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rsid w:val="00E87531"/>
    <w:pPr>
      <w:keepNext/>
      <w:keepLines/>
      <w:spacing w:before="100" w:after="100"/>
      <w:contextualSpacing/>
    </w:pPr>
    <w:rPr>
      <w:rFonts w:ascii="Calibri" w:eastAsia="Calibri" w:hAnsi="Calibri" w:cs="Calibri"/>
      <w:b/>
      <w:color w:val="345A8A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7531"/>
    <w:rPr>
      <w:rFonts w:ascii="Calibri" w:eastAsia="Calibri" w:hAnsi="Calibri" w:cs="Calibri"/>
      <w:b/>
      <w:color w:val="345A8A"/>
      <w:sz w:val="48"/>
      <w:szCs w:val="48"/>
    </w:rPr>
  </w:style>
  <w:style w:type="paragraph" w:styleId="ListParagraph">
    <w:name w:val="List Paragraph"/>
    <w:basedOn w:val="Normal"/>
    <w:uiPriority w:val="34"/>
    <w:qFormat/>
    <w:rsid w:val="002C7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3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2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82A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4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a.org/tools/diversity-toolkit.html" TargetMode="External"/><Relationship Id="rId8" Type="http://schemas.openxmlformats.org/officeDocument/2006/relationships/hyperlink" Target="http://www.edutopia.org/blog/relationship-building-culturally-responsive-classroom-todd-finley" TargetMode="External"/><Relationship Id="rId9" Type="http://schemas.openxmlformats.org/officeDocument/2006/relationships/hyperlink" Target="http://www.pbis.org/school/equity-pbi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</dc:creator>
  <cp:lastModifiedBy>Aimee Howley</cp:lastModifiedBy>
  <cp:revision>4</cp:revision>
  <cp:lastPrinted>2017-09-03T16:28:00Z</cp:lastPrinted>
  <dcterms:created xsi:type="dcterms:W3CDTF">2017-09-04T17:14:00Z</dcterms:created>
  <dcterms:modified xsi:type="dcterms:W3CDTF">2017-09-04T17:30:00Z</dcterms:modified>
</cp:coreProperties>
</file>