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F594E" w14:textId="5DDE3D25" w:rsidR="00A827DE" w:rsidRPr="00D362F4" w:rsidRDefault="00327059" w:rsidP="00D362F4">
      <w:pPr>
        <w:pStyle w:val="Heading2"/>
        <w:rPr>
          <w:color w:val="auto"/>
          <w:sz w:val="32"/>
          <w:szCs w:val="32"/>
        </w:rPr>
      </w:pPr>
      <w:bookmarkStart w:id="0" w:name="_Toc424065743"/>
      <w:r>
        <w:rPr>
          <w:noProof/>
        </w:rPr>
        <mc:AlternateContent>
          <mc:Choice Requires="wps">
            <w:drawing>
              <wp:anchor distT="114300" distB="114300" distL="114300" distR="114300" simplePos="0" relativeHeight="251657728" behindDoc="1" locked="0" layoutInCell="0" allowOverlap="1" wp14:anchorId="2E3D3EA5" wp14:editId="79812154">
                <wp:simplePos x="0" y="0"/>
                <wp:positionH relativeFrom="margin">
                  <wp:posOffset>3966845</wp:posOffset>
                </wp:positionH>
                <wp:positionV relativeFrom="paragraph">
                  <wp:posOffset>158115</wp:posOffset>
                </wp:positionV>
                <wp:extent cx="2133600" cy="1390650"/>
                <wp:effectExtent l="25400" t="0" r="50800" b="336550"/>
                <wp:wrapSquare wrapText="bothSides"/>
                <wp:docPr id="1" name="Cloud Callou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90650"/>
                        </a:xfrm>
                        <a:prstGeom prst="cloudCallout">
                          <a:avLst>
                            <a:gd name="adj1" fmla="val -41134"/>
                            <a:gd name="adj2" fmla="val 68927"/>
                          </a:avLst>
                        </a:prstGeom>
                        <a:solidFill>
                          <a:srgbClr val="F1C232"/>
                        </a:solidFill>
                        <a:ln w="19050">
                          <a:solidFill>
                            <a:srgbClr val="000000"/>
                          </a:solidFill>
                          <a:round/>
                          <a:headEnd/>
                          <a:tailEnd/>
                        </a:ln>
                      </wps:spPr>
                      <wps:txbx>
                        <w:txbxContent>
                          <w:p w14:paraId="730F94E6" w14:textId="77777777" w:rsidR="00A827DE" w:rsidRDefault="00A827DE" w:rsidP="00A827DE">
                            <w:pPr>
                              <w:jc w:val="center"/>
                              <w:textDirection w:val="btLr"/>
                            </w:pPr>
                            <w:r>
                              <w:rPr>
                                <w:rFonts w:ascii="Calibri" w:eastAsia="Calibri" w:hAnsi="Calibri" w:cs="Calibri"/>
                                <w:b/>
                              </w:rPr>
                              <w:t>Do our beliefs matter?</w:t>
                            </w:r>
                          </w:p>
                        </w:txbxContent>
                      </wps:txbx>
                      <wps:bodyPr rot="0" vert="horz" wrap="square" lIns="91424" tIns="91424" rIns="91424" bIns="91424"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D3EA5"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9" o:spid="_x0000_s1026" type="#_x0000_t106" style="position:absolute;margin-left:312.35pt;margin-top:12.45pt;width:168pt;height:109.5pt;z-index:-25165875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" o:allowincell="f" adj="1915,25688" fillcolor="#f1c232" strokeweight="1.5pt">
                <v:textbox inset="91424emu,91424emu,91424emu,91424emu">
                  <w:txbxContent>
                    <w:p w14:paraId="730F94E6" w14:textId="77777777" w:rsidR="00A827DE" w:rsidRDefault="00A827DE" w:rsidP="00A827DE">
                      <w:pPr>
                        <w:jc w:val="center"/>
                        <w:textDirection w:val="btLr"/>
                      </w:pPr>
                      <w:r>
                        <w:rPr>
                          <w:rFonts w:ascii="Calibri" w:eastAsia="Calibri" w:hAnsi="Calibri" w:cs="Calibri"/>
                          <w:b/>
                        </w:rPr>
                        <w:t>Do our beliefs matter?</w:t>
                      </w:r>
                    </w:p>
                  </w:txbxContent>
                </v:textbox>
                <w10:wrap type="square" anchorx="margin"/>
              </v:shape>
            </w:pict>
          </mc:Fallback>
        </mc:AlternateContent>
      </w:r>
      <w:r w:rsidR="00A827DE" w:rsidRPr="00B02E53">
        <w:rPr>
          <w:color w:val="auto"/>
          <w:sz w:val="32"/>
          <w:szCs w:val="32"/>
        </w:rPr>
        <w:t xml:space="preserve">Communicating Beliefs </w:t>
      </w:r>
      <w:bookmarkEnd w:id="0"/>
    </w:p>
    <w:p w14:paraId="3E91F02F" w14:textId="77777777" w:rsidR="00A827DE" w:rsidRDefault="00A827DE" w:rsidP="00A827DE"/>
    <w:p w14:paraId="69E88867" w14:textId="77777777" w:rsidR="00327059" w:rsidRDefault="00A827DE" w:rsidP="00327059">
      <w:r>
        <w:t>“Getting results for students is a matter of being clear on what we believe to be important (setting and communicating standards of performance) and having conviction that all students have the capacity to achieve those standards (expectations). To have the convictions that all students can achieve in school, we have to perceive them all as having sufficient ability to do so and have confidence in our capacity to meet students where they are now and move them incrementally toward meeting those standards. Both of these conditions can be seriously affected by the theories that we hold about people and the</w:t>
      </w:r>
      <w:r w:rsidR="00710B4D">
        <w:t>ir capacity to grow and develop.</w:t>
      </w:r>
      <w:r>
        <w:t xml:space="preserve">” </w:t>
      </w:r>
    </w:p>
    <w:p w14:paraId="7FB815A9" w14:textId="18C5BF0C" w:rsidR="00A827DE" w:rsidRDefault="00A827DE" w:rsidP="00327059">
      <w:r>
        <w:t>(</w:t>
      </w:r>
      <w:proofErr w:type="spellStart"/>
      <w:r w:rsidR="00872B08">
        <w:t>Saphier</w:t>
      </w:r>
      <w:proofErr w:type="spellEnd"/>
      <w:r w:rsidR="00872B08">
        <w:t>, Haley-</w:t>
      </w:r>
      <w:proofErr w:type="spellStart"/>
      <w:r w:rsidR="00872B08">
        <w:t>Spe</w:t>
      </w:r>
      <w:r w:rsidR="006D01D7">
        <w:t>ca</w:t>
      </w:r>
      <w:proofErr w:type="spellEnd"/>
      <w:r w:rsidR="006D01D7">
        <w:t xml:space="preserve">, &amp; Gower, </w:t>
      </w:r>
      <w:r w:rsidR="00FB4817">
        <w:rPr>
          <w:color w:val="auto"/>
        </w:rPr>
        <w:t>2008)</w:t>
      </w:r>
    </w:p>
    <w:p w14:paraId="5423E563" w14:textId="77777777" w:rsidR="000A20CC" w:rsidRDefault="000A20CC" w:rsidP="00A827DE"/>
    <w:p w14:paraId="0023DD83" w14:textId="77777777" w:rsidR="000A20CC" w:rsidRDefault="000A20CC" w:rsidP="00A827DE"/>
    <w:p w14:paraId="7AF59632" w14:textId="77777777" w:rsidR="00A827DE" w:rsidRDefault="00A827DE" w:rsidP="00A827DE"/>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7020"/>
      </w:tblGrid>
      <w:tr w:rsidR="00A827DE" w14:paraId="3B7D0025" w14:textId="77777777" w:rsidTr="00D02D8D">
        <w:tc>
          <w:tcPr>
            <w:tcW w:w="3060" w:type="dxa"/>
            <w:tcMar>
              <w:top w:w="100" w:type="dxa"/>
              <w:left w:w="100" w:type="dxa"/>
              <w:bottom w:w="100" w:type="dxa"/>
              <w:right w:w="100" w:type="dxa"/>
            </w:tcMar>
          </w:tcPr>
          <w:p w14:paraId="3A8FF16E" w14:textId="77777777" w:rsidR="00A827DE" w:rsidRPr="000A54D8" w:rsidRDefault="00A827DE" w:rsidP="00D02D8D">
            <w:pPr>
              <w:widowControl w:val="0"/>
              <w:rPr>
                <w:b/>
              </w:rPr>
            </w:pPr>
            <w:r w:rsidRPr="000A54D8">
              <w:rPr>
                <w:b/>
              </w:rPr>
              <w:t>Belief in your students</w:t>
            </w:r>
          </w:p>
        </w:tc>
        <w:tc>
          <w:tcPr>
            <w:tcW w:w="7020" w:type="dxa"/>
            <w:tcMar>
              <w:top w:w="100" w:type="dxa"/>
              <w:left w:w="100" w:type="dxa"/>
              <w:bottom w:w="100" w:type="dxa"/>
              <w:right w:w="100" w:type="dxa"/>
            </w:tcMar>
          </w:tcPr>
          <w:p w14:paraId="3F2DD52A" w14:textId="77777777" w:rsidR="00A827DE" w:rsidRDefault="00A827DE" w:rsidP="00D02D8D">
            <w:pPr>
              <w:widowControl w:val="0"/>
            </w:pPr>
            <w:r>
              <w:t>“All of your students, whether you believe it or not, have to believe that you think they can do it.</w:t>
            </w:r>
            <w:r w:rsidR="0054260C">
              <w:t xml:space="preserve"> . . Educators need to send three</w:t>
            </w:r>
            <w:r>
              <w:t xml:space="preserve"> key messages to students:</w:t>
            </w:r>
          </w:p>
          <w:p w14:paraId="5C577BAE" w14:textId="77777777" w:rsidR="0054260C" w:rsidRDefault="0054260C" w:rsidP="00D02D8D">
            <w:pPr>
              <w:widowControl w:val="0"/>
            </w:pPr>
          </w:p>
          <w:p w14:paraId="2330B0BB" w14:textId="77777777" w:rsidR="00A827DE" w:rsidRDefault="00A827DE" w:rsidP="00D02D8D">
            <w:pPr>
              <w:widowControl w:val="0"/>
              <w:numPr>
                <w:ilvl w:val="0"/>
                <w:numId w:val="1"/>
              </w:numPr>
              <w:ind w:hanging="360"/>
              <w:contextualSpacing/>
            </w:pPr>
            <w:r>
              <w:t>What we’re doing is important</w:t>
            </w:r>
            <w:r w:rsidR="0054260C">
              <w:t>;</w:t>
            </w:r>
          </w:p>
          <w:p w14:paraId="1DF8CCB4" w14:textId="77777777" w:rsidR="00A827DE" w:rsidRDefault="00A827DE" w:rsidP="00D02D8D">
            <w:pPr>
              <w:widowControl w:val="0"/>
              <w:numPr>
                <w:ilvl w:val="0"/>
                <w:numId w:val="1"/>
              </w:numPr>
              <w:ind w:hanging="360"/>
              <w:contextualSpacing/>
            </w:pPr>
            <w:r>
              <w:t>You can do it</w:t>
            </w:r>
            <w:r w:rsidR="0054260C">
              <w:t>;</w:t>
            </w:r>
          </w:p>
          <w:p w14:paraId="6CD1D5E7" w14:textId="77777777" w:rsidR="00A827DE" w:rsidRDefault="00A827DE" w:rsidP="00D02D8D">
            <w:pPr>
              <w:widowControl w:val="0"/>
              <w:numPr>
                <w:ilvl w:val="0"/>
                <w:numId w:val="1"/>
              </w:numPr>
              <w:ind w:hanging="360"/>
              <w:contextualSpacing/>
            </w:pPr>
            <w:r>
              <w:t>I won’t give up on you, even if you give up on yourself</w:t>
            </w:r>
            <w:r w:rsidR="00710B4D">
              <w:t>.</w:t>
            </w:r>
            <w:r w:rsidR="003069F0">
              <w:t>”</w:t>
            </w:r>
          </w:p>
          <w:p w14:paraId="4907E7D1" w14:textId="77777777" w:rsidR="0054260C" w:rsidRDefault="0054260C" w:rsidP="00D02D8D">
            <w:pPr>
              <w:widowControl w:val="0"/>
            </w:pPr>
          </w:p>
          <w:p w14:paraId="4F552227" w14:textId="77777777" w:rsidR="00A827DE" w:rsidRDefault="00710B4D" w:rsidP="00D02D8D">
            <w:pPr>
              <w:widowControl w:val="0"/>
            </w:pPr>
            <w:r>
              <w:t>(</w:t>
            </w:r>
            <w:r w:rsidR="0054260C">
              <w:t xml:space="preserve">Jon </w:t>
            </w:r>
            <w:proofErr w:type="spellStart"/>
            <w:r w:rsidR="00A827DE">
              <w:t>Saphier</w:t>
            </w:r>
            <w:proofErr w:type="spellEnd"/>
            <w:r w:rsidR="009966B5">
              <w:t>.</w:t>
            </w:r>
            <w:r w:rsidR="00A827DE">
              <w:t xml:space="preserve"> personal communication,</w:t>
            </w:r>
            <w:r w:rsidR="009966B5">
              <w:t xml:space="preserve"> </w:t>
            </w:r>
            <w:r w:rsidR="00A827DE">
              <w:t>Leading for Social Justice Institute, 2015</w:t>
            </w:r>
            <w:r>
              <w:t>)</w:t>
            </w:r>
          </w:p>
          <w:p w14:paraId="100C1B38" w14:textId="77777777" w:rsidR="00A827DE" w:rsidRDefault="00A827DE" w:rsidP="00D02D8D">
            <w:pPr>
              <w:widowControl w:val="0"/>
            </w:pPr>
          </w:p>
        </w:tc>
      </w:tr>
      <w:tr w:rsidR="00A827DE" w14:paraId="74281BF1" w14:textId="77777777" w:rsidTr="00D02D8D">
        <w:tc>
          <w:tcPr>
            <w:tcW w:w="3060" w:type="dxa"/>
            <w:tcMar>
              <w:top w:w="100" w:type="dxa"/>
              <w:left w:w="100" w:type="dxa"/>
              <w:bottom w:w="100" w:type="dxa"/>
              <w:right w:w="100" w:type="dxa"/>
            </w:tcMar>
          </w:tcPr>
          <w:p w14:paraId="457B6C40" w14:textId="77777777" w:rsidR="00A827DE" w:rsidRPr="00A94C43" w:rsidRDefault="00D3647C" w:rsidP="00D02D8D">
            <w:pPr>
              <w:widowControl w:val="0"/>
              <w:rPr>
                <w:b/>
                <w:highlight w:val="yellow"/>
              </w:rPr>
            </w:pPr>
            <w:r w:rsidRPr="00D3647C">
              <w:rPr>
                <w:b/>
              </w:rPr>
              <w:t xml:space="preserve">Belief in your efficacy </w:t>
            </w:r>
            <w:r w:rsidR="00A827DE" w:rsidRPr="00D3647C">
              <w:rPr>
                <w:b/>
              </w:rPr>
              <w:t>as an educator</w:t>
            </w:r>
          </w:p>
        </w:tc>
        <w:tc>
          <w:tcPr>
            <w:tcW w:w="7020" w:type="dxa"/>
            <w:tcMar>
              <w:top w:w="100" w:type="dxa"/>
              <w:left w:w="100" w:type="dxa"/>
              <w:bottom w:w="100" w:type="dxa"/>
              <w:right w:w="100" w:type="dxa"/>
            </w:tcMar>
          </w:tcPr>
          <w:p w14:paraId="2AF4A0CD" w14:textId="77777777" w:rsidR="00A827DE" w:rsidRPr="00D3647C" w:rsidRDefault="00414CAB" w:rsidP="00D02D8D">
            <w:r w:rsidRPr="007D7AF2">
              <w:t>“</w:t>
            </w:r>
            <w:r w:rsidRPr="00D3647C">
              <w:t>By ‘efficacy’</w:t>
            </w:r>
            <w:r w:rsidR="00A827DE" w:rsidRPr="00D3647C">
              <w:t xml:space="preserve"> we mean the personal conviction of educators and administrators that their actions are the primary influences on t</w:t>
            </w:r>
            <w:r w:rsidR="007D7AF2">
              <w:t>he academic success of students</w:t>
            </w:r>
            <w:r w:rsidR="003069F0">
              <w:t>.</w:t>
            </w:r>
            <w:r w:rsidR="00A827DE" w:rsidRPr="00D3647C">
              <w:t>” (Reeves, 201</w:t>
            </w:r>
            <w:r w:rsidRPr="00D3647C">
              <w:t>0,</w:t>
            </w:r>
            <w:r w:rsidR="00A827DE" w:rsidRPr="00D3647C">
              <w:t xml:space="preserve"> p.26)</w:t>
            </w:r>
          </w:p>
          <w:p w14:paraId="05C9B23E" w14:textId="77777777" w:rsidR="00770E67" w:rsidRPr="00D3647C" w:rsidRDefault="00770E67" w:rsidP="00770E67">
            <w:pPr>
              <w:ind w:left="720"/>
              <w:contextualSpacing/>
              <w:rPr>
                <w:color w:val="FF0000"/>
              </w:rPr>
            </w:pPr>
          </w:p>
          <w:p w14:paraId="25C798DE" w14:textId="77777777" w:rsidR="00A827DE" w:rsidRPr="00D3647C" w:rsidRDefault="00A827DE" w:rsidP="00A827DE">
            <w:pPr>
              <w:numPr>
                <w:ilvl w:val="0"/>
                <w:numId w:val="4"/>
              </w:numPr>
              <w:ind w:hanging="360"/>
              <w:contextualSpacing/>
              <w:rPr>
                <w:color w:val="auto"/>
              </w:rPr>
            </w:pPr>
            <w:r w:rsidRPr="00D3647C">
              <w:rPr>
                <w:color w:val="auto"/>
              </w:rPr>
              <w:t>In schools where leadership teams primarily attributed student achievement to student variables</w:t>
            </w:r>
            <w:r w:rsidR="00905F3A">
              <w:rPr>
                <w:color w:val="auto"/>
              </w:rPr>
              <w:t>,</w:t>
            </w:r>
            <w:r w:rsidRPr="00D3647C">
              <w:rPr>
                <w:color w:val="auto"/>
              </w:rPr>
              <w:t xml:space="preserve"> the average gain between 2005 and 2006 scores </w:t>
            </w:r>
            <w:r w:rsidR="00770E67" w:rsidRPr="00D3647C">
              <w:rPr>
                <w:color w:val="auto"/>
              </w:rPr>
              <w:t>on 25 assessments was 6.14%.</w:t>
            </w:r>
          </w:p>
          <w:p w14:paraId="754033CB" w14:textId="77777777" w:rsidR="00770E67" w:rsidRPr="00D3647C" w:rsidRDefault="00770E67" w:rsidP="00770E67">
            <w:pPr>
              <w:ind w:left="720"/>
              <w:contextualSpacing/>
              <w:rPr>
                <w:color w:val="auto"/>
              </w:rPr>
            </w:pPr>
          </w:p>
          <w:p w14:paraId="3B0FE6F6" w14:textId="77777777" w:rsidR="00A827DE" w:rsidRPr="00D3647C" w:rsidRDefault="00770E67" w:rsidP="00A827DE">
            <w:pPr>
              <w:numPr>
                <w:ilvl w:val="0"/>
                <w:numId w:val="4"/>
              </w:numPr>
              <w:ind w:hanging="360"/>
              <w:contextualSpacing/>
              <w:rPr>
                <w:color w:val="auto"/>
              </w:rPr>
            </w:pPr>
            <w:r w:rsidRPr="00D3647C">
              <w:rPr>
                <w:color w:val="auto"/>
              </w:rPr>
              <w:t>I</w:t>
            </w:r>
            <w:r w:rsidR="00A827DE" w:rsidRPr="00D3647C">
              <w:rPr>
                <w:color w:val="auto"/>
              </w:rPr>
              <w:t>n schools where the leadership teams primarily attributed student achievement to teacher variables the average gain was 18.4%</w:t>
            </w:r>
            <w:r w:rsidR="00EE5A05">
              <w:rPr>
                <w:color w:val="auto"/>
              </w:rPr>
              <w:t>.</w:t>
            </w:r>
            <w:r w:rsidR="00A827DE" w:rsidRPr="00D3647C">
              <w:rPr>
                <w:color w:val="auto"/>
              </w:rPr>
              <w:t xml:space="preserve"> (Reeves 2008)</w:t>
            </w:r>
          </w:p>
          <w:p w14:paraId="6C1C3AB7" w14:textId="77777777" w:rsidR="00A827DE" w:rsidRPr="00A94C43" w:rsidRDefault="00A827DE" w:rsidP="00D02D8D">
            <w:pPr>
              <w:rPr>
                <w:highlight w:val="yellow"/>
              </w:rPr>
            </w:pPr>
          </w:p>
          <w:p w14:paraId="12056609" w14:textId="77777777" w:rsidR="00A827DE" w:rsidRPr="00A94C43" w:rsidRDefault="00A827DE" w:rsidP="00770E67">
            <w:pPr>
              <w:rPr>
                <w:highlight w:val="yellow"/>
              </w:rPr>
            </w:pPr>
          </w:p>
        </w:tc>
      </w:tr>
      <w:tr w:rsidR="00A827DE" w14:paraId="7141861B" w14:textId="77777777" w:rsidTr="00D02D8D">
        <w:tc>
          <w:tcPr>
            <w:tcW w:w="3060" w:type="dxa"/>
            <w:tcMar>
              <w:top w:w="100" w:type="dxa"/>
              <w:left w:w="100" w:type="dxa"/>
              <w:bottom w:w="100" w:type="dxa"/>
              <w:right w:w="100" w:type="dxa"/>
            </w:tcMar>
          </w:tcPr>
          <w:p w14:paraId="41C4E0FD" w14:textId="77777777" w:rsidR="00A827DE" w:rsidRPr="000A54D8" w:rsidRDefault="00A827DE" w:rsidP="00D02D8D">
            <w:pPr>
              <w:widowControl w:val="0"/>
              <w:rPr>
                <w:b/>
              </w:rPr>
            </w:pPr>
            <w:r w:rsidRPr="000A54D8">
              <w:rPr>
                <w:b/>
              </w:rPr>
              <w:t>Belief in student-teacher relationships</w:t>
            </w:r>
          </w:p>
        </w:tc>
        <w:tc>
          <w:tcPr>
            <w:tcW w:w="7020" w:type="dxa"/>
            <w:tcMar>
              <w:top w:w="100" w:type="dxa"/>
              <w:left w:w="100" w:type="dxa"/>
              <w:bottom w:w="100" w:type="dxa"/>
              <w:right w:w="100" w:type="dxa"/>
            </w:tcMar>
          </w:tcPr>
          <w:p w14:paraId="38F82E3D" w14:textId="77777777" w:rsidR="00A827DE" w:rsidRDefault="00A827DE" w:rsidP="00A827DE">
            <w:pPr>
              <w:numPr>
                <w:ilvl w:val="0"/>
                <w:numId w:val="2"/>
              </w:numPr>
              <w:ind w:hanging="360"/>
              <w:contextualSpacing/>
            </w:pPr>
            <w:r>
              <w:t>“Establishing positive relationships between young students and their educators has been show to cascade and so result in lasting benefits involving trust and affection. Positive teacher-student relat</w:t>
            </w:r>
            <w:r w:rsidR="001B1807">
              <w:t>ionships in the early years predict</w:t>
            </w:r>
            <w:r>
              <w:t xml:space="preserve"> </w:t>
            </w:r>
            <w:r w:rsidR="001B1807">
              <w:t xml:space="preserve">lower levels of </w:t>
            </w:r>
            <w:r>
              <w:t xml:space="preserve">antisocial behavior </w:t>
            </w:r>
            <w:r w:rsidR="001B1807">
              <w:t>and may</w:t>
            </w:r>
            <w:r>
              <w:t xml:space="preserve"> prevent studen</w:t>
            </w:r>
            <w:r w:rsidR="001B1807">
              <w:t xml:space="preserve">ts who began school with high levels of anxiety and emotional </w:t>
            </w:r>
            <w:r w:rsidR="001B1807">
              <w:lastRenderedPageBreak/>
              <w:t>problems from developing behavioral problems</w:t>
            </w:r>
            <w:r w:rsidR="00905F3A">
              <w:t>.</w:t>
            </w:r>
            <w:r w:rsidR="00486856">
              <w:t>”</w:t>
            </w:r>
            <w:r w:rsidR="001B1807">
              <w:t xml:space="preserve"> </w:t>
            </w:r>
            <w:r>
              <w:t xml:space="preserve">(Hattie </w:t>
            </w:r>
            <w:r w:rsidR="00486856">
              <w:t xml:space="preserve">&amp; Yates, </w:t>
            </w:r>
            <w:r>
              <w:t>2014, p. 17)</w:t>
            </w:r>
          </w:p>
          <w:p w14:paraId="2412BC51" w14:textId="77777777" w:rsidR="008A5D6F" w:rsidRDefault="008A5D6F" w:rsidP="008A5D6F">
            <w:pPr>
              <w:ind w:left="720"/>
              <w:contextualSpacing/>
            </w:pPr>
          </w:p>
          <w:p w14:paraId="7DCF4750" w14:textId="77777777" w:rsidR="00A827DE" w:rsidRDefault="00A827DE" w:rsidP="00A827DE">
            <w:pPr>
              <w:numPr>
                <w:ilvl w:val="0"/>
                <w:numId w:val="2"/>
              </w:numPr>
              <w:ind w:hanging="360"/>
              <w:contextualSpacing/>
            </w:pPr>
            <w:r>
              <w:t>“The notion that teacher-student relationships have enduring effects was supported by a recent American study that used a professional development training model to induce educators to focus on improving relationships with their students at the high school level</w:t>
            </w:r>
            <w:r w:rsidR="00486856">
              <w:t xml:space="preserve">. It was found that marked improvements in student achievement occurred not in the year the program was carried out, but the year following the intervention, with student grades improving nine percentile points in the targeted students.” </w:t>
            </w:r>
            <w:r>
              <w:t xml:space="preserve">(Hattie </w:t>
            </w:r>
            <w:r w:rsidR="00486856">
              <w:t xml:space="preserve">&amp; Yates, </w:t>
            </w:r>
            <w:r>
              <w:t>2014, p. 17)</w:t>
            </w:r>
          </w:p>
          <w:p w14:paraId="13EFCABE" w14:textId="77777777" w:rsidR="00A827DE" w:rsidRPr="000A54D8" w:rsidRDefault="00A827DE" w:rsidP="008A5D6F">
            <w:pPr>
              <w:ind w:left="720"/>
              <w:contextualSpacing/>
              <w:rPr>
                <w:color w:val="FF0000"/>
              </w:rPr>
            </w:pPr>
          </w:p>
        </w:tc>
      </w:tr>
      <w:tr w:rsidR="00A827DE" w14:paraId="39DA4806" w14:textId="77777777" w:rsidTr="00D02D8D">
        <w:tc>
          <w:tcPr>
            <w:tcW w:w="3060" w:type="dxa"/>
            <w:tcMar>
              <w:top w:w="100" w:type="dxa"/>
              <w:left w:w="100" w:type="dxa"/>
              <w:bottom w:w="100" w:type="dxa"/>
              <w:right w:w="100" w:type="dxa"/>
            </w:tcMar>
          </w:tcPr>
          <w:p w14:paraId="79C2A4A7" w14:textId="77777777" w:rsidR="00A827DE" w:rsidRPr="000A54D8" w:rsidRDefault="00A827DE" w:rsidP="00D02D8D">
            <w:pPr>
              <w:widowControl w:val="0"/>
              <w:rPr>
                <w:b/>
              </w:rPr>
            </w:pPr>
            <w:r w:rsidRPr="000A54D8">
              <w:rPr>
                <w:b/>
              </w:rPr>
              <w:lastRenderedPageBreak/>
              <w:t>Belief in the power of effort</w:t>
            </w:r>
          </w:p>
        </w:tc>
        <w:tc>
          <w:tcPr>
            <w:tcW w:w="7020" w:type="dxa"/>
            <w:tcMar>
              <w:top w:w="100" w:type="dxa"/>
              <w:left w:w="100" w:type="dxa"/>
              <w:bottom w:w="100" w:type="dxa"/>
              <w:right w:w="100" w:type="dxa"/>
            </w:tcMar>
          </w:tcPr>
          <w:p w14:paraId="3B339BC5" w14:textId="77777777" w:rsidR="00A827DE" w:rsidRDefault="00A827DE" w:rsidP="00D02D8D">
            <w:r>
              <w:t>“A major reason for developing closeness and reducing conflict is to build the trust needed for most learning. Learning requires considerable investment. It requires confidence that we can learn, it requires an openness to new experiences and thinking, and it requires understanding that we might be wrong, we may make errors, and we will need feedback. Learning for many students is a risky business. The positive teacher-student relationship is thus important not so much because this is worthwhile in itself, but because it helps build the trust to make mistakes, to ask for help, to build confidence to try again, and for students to know they will not look silly when they don’t get it the first time.” (Hattie</w:t>
            </w:r>
            <w:r w:rsidR="00D3647C">
              <w:t xml:space="preserve"> &amp; Yates</w:t>
            </w:r>
            <w:r>
              <w:t>, 2014, p. 21)</w:t>
            </w:r>
          </w:p>
          <w:p w14:paraId="45EBAD35" w14:textId="77777777" w:rsidR="009451BA" w:rsidRDefault="009451BA" w:rsidP="00D02D8D"/>
          <w:p w14:paraId="7D609F85" w14:textId="77777777" w:rsidR="009451BA" w:rsidRDefault="009451BA" w:rsidP="009451BA">
            <w:pPr>
              <w:widowControl w:val="0"/>
            </w:pPr>
            <w:r w:rsidRPr="000A54D8">
              <w:rPr>
                <w:b/>
              </w:rPr>
              <w:t xml:space="preserve">“Smart is something you can get!” </w:t>
            </w:r>
            <w:r>
              <w:t xml:space="preserve">Jon </w:t>
            </w:r>
            <w:proofErr w:type="spellStart"/>
            <w:r>
              <w:t>Saphier</w:t>
            </w:r>
            <w:proofErr w:type="spellEnd"/>
            <w:r>
              <w:t xml:space="preserve"> (personal communication, Leading for Social Justice Institute, 2015.</w:t>
            </w:r>
          </w:p>
          <w:p w14:paraId="7ED4A647" w14:textId="77777777" w:rsidR="009451BA" w:rsidRDefault="009451BA" w:rsidP="00D02D8D"/>
          <w:p w14:paraId="3EFBE076" w14:textId="77777777" w:rsidR="00A827DE" w:rsidRDefault="00A827DE" w:rsidP="00D02D8D">
            <w:r>
              <w:t xml:space="preserve">Carol </w:t>
            </w:r>
            <w:proofErr w:type="spellStart"/>
            <w:r>
              <w:t>Dweck</w:t>
            </w:r>
            <w:proofErr w:type="spellEnd"/>
            <w:r>
              <w:t xml:space="preserve"> has </w:t>
            </w:r>
            <w:r w:rsidR="00793E01">
              <w:t>studied the power of having a growth m</w:t>
            </w:r>
            <w:r>
              <w:t xml:space="preserve">indset </w:t>
            </w:r>
            <w:hyperlink r:id="rId7">
              <w:r w:rsidRPr="000A54D8">
                <w:rPr>
                  <w:color w:val="1155CC"/>
                  <w:u w:val="single"/>
                </w:rPr>
                <w:t>http://www.mindsetworks.com/</w:t>
              </w:r>
            </w:hyperlink>
            <w:r>
              <w:t xml:space="preserve"> . On her website (</w:t>
            </w:r>
            <w:hyperlink r:id="rId8">
              <w:r w:rsidRPr="000A54D8">
                <w:rPr>
                  <w:color w:val="1155CC"/>
                  <w:u w:val="single"/>
                </w:rPr>
                <w:t>http://mindsetonline.com/whatisit/about/</w:t>
              </w:r>
            </w:hyperlink>
            <w:r w:rsidR="00E85040">
              <w:t xml:space="preserve">) she explains, </w:t>
            </w:r>
            <w:r>
              <w:t xml:space="preserve">“In a growth mindset, people believe that their most basic abilities can be developed through dedication and hard work—brains and talent are just the starting point. This view creates a love of learning and a resilience that is essential for </w:t>
            </w:r>
            <w:r w:rsidR="00093188">
              <w:t xml:space="preserve">great accomplishment. </w:t>
            </w:r>
            <w:r w:rsidR="00D92C1B">
              <w:t xml:space="preserve">In contrast, </w:t>
            </w:r>
            <w:r w:rsidR="00E85040">
              <w:t>a fixed m</w:t>
            </w:r>
            <w:r>
              <w:t>indset</w:t>
            </w:r>
            <w:r w:rsidR="00D92C1B">
              <w:t>,</w:t>
            </w:r>
            <w:r>
              <w:t xml:space="preserve"> as</w:t>
            </w:r>
            <w:r w:rsidR="00D92C1B">
              <w:t xml:space="preserve"> defined by </w:t>
            </w:r>
            <w:proofErr w:type="spellStart"/>
            <w:r w:rsidR="00D92C1B">
              <w:t>Dweck</w:t>
            </w:r>
            <w:proofErr w:type="spellEnd"/>
            <w:r w:rsidR="00D92C1B">
              <w:t>, is people’s belief that</w:t>
            </w:r>
            <w:r>
              <w:t xml:space="preserve"> </w:t>
            </w:r>
            <w:r w:rsidR="00D92C1B">
              <w:t>“</w:t>
            </w:r>
            <w:r>
              <w:t xml:space="preserve">their basic qualities, like their intelligence or talent, are simply fixed traits. They spend their time documenting their intelligence or talent instead of developing them. They also believe that talent alone creates success—without effort. They’re wrong.” </w:t>
            </w:r>
            <w:proofErr w:type="spellStart"/>
            <w:r w:rsidR="00D92C1B">
              <w:t>Dweck’s</w:t>
            </w:r>
            <w:proofErr w:type="spellEnd"/>
            <w:r w:rsidR="00D92C1B">
              <w:t xml:space="preserve"> research </w:t>
            </w:r>
            <w:r>
              <w:t>dem</w:t>
            </w:r>
            <w:r w:rsidR="00793E01">
              <w:t>onstrates that students with a growth m</w:t>
            </w:r>
            <w:r>
              <w:t>ind</w:t>
            </w:r>
            <w:r w:rsidR="00793E01">
              <w:t>set outperform students with a fixed m</w:t>
            </w:r>
            <w:r>
              <w:t>indset.</w:t>
            </w:r>
            <w:r w:rsidR="00E85040">
              <w:t xml:space="preserve"> But growth mindset is itself something that adults help children develop by holding high expectations and providing the support necessary to allow children to meet those high expectations.</w:t>
            </w:r>
          </w:p>
          <w:p w14:paraId="5FDEF3A5" w14:textId="77777777" w:rsidR="00A827DE" w:rsidRDefault="00A827DE" w:rsidP="00D02D8D"/>
          <w:p w14:paraId="0735E68C" w14:textId="77777777" w:rsidR="00A827DE" w:rsidRDefault="00D92C1B" w:rsidP="00D92C1B">
            <w:r>
              <w:t xml:space="preserve">For more information on Mindsets, see </w:t>
            </w:r>
            <w:r w:rsidR="00A827DE" w:rsidRPr="000A54D8">
              <w:rPr>
                <w:i/>
              </w:rPr>
              <w:t>“How Not to Talk to Your Kids”</w:t>
            </w:r>
            <w:r w:rsidR="00A827DE">
              <w:t xml:space="preserve"> </w:t>
            </w:r>
            <w:hyperlink r:id="rId9">
              <w:r w:rsidR="00A827DE" w:rsidRPr="000A54D8">
                <w:rPr>
                  <w:color w:val="1155CC"/>
                  <w:u w:val="single"/>
                </w:rPr>
                <w:t>http://nymag.com/news/features/27840/</w:t>
              </w:r>
            </w:hyperlink>
            <w:r w:rsidR="00A827DE">
              <w:t xml:space="preserve"> </w:t>
            </w:r>
          </w:p>
        </w:tc>
      </w:tr>
      <w:tr w:rsidR="00A827DE" w14:paraId="047BE4E5" w14:textId="77777777" w:rsidTr="00D02D8D">
        <w:tc>
          <w:tcPr>
            <w:tcW w:w="3060" w:type="dxa"/>
            <w:tcMar>
              <w:top w:w="100" w:type="dxa"/>
              <w:left w:w="100" w:type="dxa"/>
              <w:bottom w:w="100" w:type="dxa"/>
              <w:right w:w="100" w:type="dxa"/>
            </w:tcMar>
          </w:tcPr>
          <w:p w14:paraId="0609ECBE" w14:textId="77777777" w:rsidR="00A827DE" w:rsidRPr="000A54D8" w:rsidRDefault="00A827DE" w:rsidP="00D02D8D">
            <w:pPr>
              <w:widowControl w:val="0"/>
              <w:rPr>
                <w:b/>
              </w:rPr>
            </w:pPr>
            <w:r w:rsidRPr="000A54D8">
              <w:rPr>
                <w:b/>
              </w:rPr>
              <w:lastRenderedPageBreak/>
              <w:t>Belief in equity and high expectations through our language and actions:</w:t>
            </w:r>
          </w:p>
        </w:tc>
        <w:tc>
          <w:tcPr>
            <w:tcW w:w="7020" w:type="dxa"/>
            <w:tcMar>
              <w:top w:w="100" w:type="dxa"/>
              <w:left w:w="100" w:type="dxa"/>
              <w:bottom w:w="100" w:type="dxa"/>
              <w:right w:w="100" w:type="dxa"/>
            </w:tcMar>
          </w:tcPr>
          <w:p w14:paraId="45CBF157" w14:textId="77777777" w:rsidR="00944F78" w:rsidRDefault="00944F78" w:rsidP="00D02D8D">
            <w:r>
              <w:t>“</w:t>
            </w:r>
            <w:r w:rsidR="00A827DE">
              <w:t>If we offer students a remedial curriculum or run a structured schedule that allows minimal freedom, we are unconsciously preparing our students to aim low. When they are not given the freedom of choice or taught critical thinking skills, they are less likely to develop tools they need to fulfill career aspirations later in life.” (</w:t>
            </w:r>
            <w:r>
              <w:t xml:space="preserve">Novak, </w:t>
            </w:r>
            <w:r w:rsidR="00051BCC">
              <w:t>2016</w:t>
            </w:r>
            <w:r>
              <w:t xml:space="preserve">, pp. 30-31) </w:t>
            </w:r>
          </w:p>
          <w:p w14:paraId="570338DE" w14:textId="77777777" w:rsidR="00677E69" w:rsidRDefault="00677E69" w:rsidP="00D02D8D"/>
          <w:p w14:paraId="3BF678E9" w14:textId="77777777" w:rsidR="00A827DE" w:rsidRDefault="002248A1" w:rsidP="00D02D8D">
            <w:hyperlink r:id="rId10">
              <w:r w:rsidR="00A827DE" w:rsidRPr="000A54D8">
                <w:rPr>
                  <w:color w:val="1155CC"/>
                  <w:u w:val="single"/>
                </w:rPr>
                <w:t>http://www.amazon.com/UDL-Now-Monday-Morning-Implementing-Standards/dp/0989867439/ref=sr_1_1?ie=UTF8&amp;qid=1429640395&amp;sr=8-1&amp;keywords=udl+now+novak</w:t>
              </w:r>
            </w:hyperlink>
            <w:r w:rsidR="00A827DE">
              <w:t xml:space="preserve">) </w:t>
            </w:r>
          </w:p>
          <w:p w14:paraId="79896878" w14:textId="77777777" w:rsidR="00A827DE" w:rsidRDefault="00A827DE" w:rsidP="00D02D8D"/>
          <w:p w14:paraId="2779BE07" w14:textId="77777777" w:rsidR="00A827DE" w:rsidRDefault="00A827DE" w:rsidP="00D02D8D"/>
        </w:tc>
      </w:tr>
    </w:tbl>
    <w:p w14:paraId="2008CA35" w14:textId="77777777" w:rsidR="00A827DE" w:rsidRDefault="00A827DE" w:rsidP="00A827DE"/>
    <w:p w14:paraId="0C4222C2" w14:textId="2F3007C9" w:rsidR="00A827DE" w:rsidRPr="00327059" w:rsidRDefault="00327059" w:rsidP="00A827DE">
      <w:pPr>
        <w:rPr>
          <w:b/>
          <w:sz w:val="28"/>
          <w:szCs w:val="28"/>
        </w:rPr>
      </w:pPr>
      <w:r w:rsidRPr="00327059">
        <w:rPr>
          <w:b/>
          <w:sz w:val="28"/>
          <w:szCs w:val="28"/>
        </w:rPr>
        <w:t>Activities</w:t>
      </w:r>
    </w:p>
    <w:p w14:paraId="09C48F94" w14:textId="77777777" w:rsidR="00327059" w:rsidRDefault="00327059" w:rsidP="00A827DE">
      <w:bookmarkStart w:id="1" w:name="_GoBack"/>
      <w:bookmarkEnd w:id="1"/>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827DE" w14:paraId="4B8CE59A" w14:textId="77777777" w:rsidTr="00D02D8D">
        <w:tc>
          <w:tcPr>
            <w:tcW w:w="10080" w:type="dxa"/>
            <w:tcMar>
              <w:top w:w="100" w:type="dxa"/>
              <w:left w:w="100" w:type="dxa"/>
              <w:bottom w:w="100" w:type="dxa"/>
              <w:right w:w="100" w:type="dxa"/>
            </w:tcMar>
          </w:tcPr>
          <w:p w14:paraId="603C153C" w14:textId="77777777" w:rsidR="00A827DE" w:rsidRDefault="00A827DE" w:rsidP="00D02D8D">
            <w:r w:rsidRPr="000A54D8">
              <w:rPr>
                <w:b/>
              </w:rPr>
              <w:t>ACTIVITY - What Do I Believe About Student Ability?</w:t>
            </w:r>
          </w:p>
          <w:p w14:paraId="7C0797CD" w14:textId="77777777" w:rsidR="00A827DE" w:rsidRDefault="00A827DE" w:rsidP="00D02D8D"/>
          <w:p w14:paraId="4A57A116" w14:textId="52824974" w:rsidR="00A827DE" w:rsidRDefault="00A827DE" w:rsidP="00D02D8D">
            <w:r w:rsidRPr="000A54D8">
              <w:rPr>
                <w:b/>
              </w:rPr>
              <w:t xml:space="preserve">Read: </w:t>
            </w:r>
            <w:r w:rsidR="007F194C">
              <w:rPr>
                <w:b/>
              </w:rPr>
              <w:t>“</w:t>
            </w:r>
            <w:r w:rsidRPr="007F194C">
              <w:rPr>
                <w:b/>
              </w:rPr>
              <w:t>Mindsets and Equitable Education</w:t>
            </w:r>
            <w:r w:rsidR="007F194C">
              <w:rPr>
                <w:b/>
                <w:i/>
              </w:rPr>
              <w:t xml:space="preserve">” </w:t>
            </w:r>
            <w:r w:rsidR="007F194C" w:rsidRPr="007F194C">
              <w:t>by</w:t>
            </w:r>
            <w:r w:rsidRPr="007F194C">
              <w:t xml:space="preserve"> </w:t>
            </w:r>
            <w:r w:rsidR="007F194C">
              <w:t xml:space="preserve">Carol </w:t>
            </w:r>
            <w:proofErr w:type="spellStart"/>
            <w:r w:rsidR="007F194C">
              <w:t>Dweck</w:t>
            </w:r>
            <w:proofErr w:type="spellEnd"/>
            <w:r w:rsidR="007F194C">
              <w:t>, in</w:t>
            </w:r>
            <w:r>
              <w:t xml:space="preserve"> </w:t>
            </w:r>
            <w:r w:rsidRPr="007F194C">
              <w:rPr>
                <w:i/>
              </w:rPr>
              <w:t>Principal Leadership</w:t>
            </w:r>
            <w:r>
              <w:t>, January 2010</w:t>
            </w:r>
            <w:r w:rsidR="007F194C">
              <w:t>,</w:t>
            </w:r>
            <w:r>
              <w:t xml:space="preserve"> </w:t>
            </w:r>
            <w:r w:rsidR="00FA3938">
              <w:t xml:space="preserve">Vol. 10, Issue 5, </w:t>
            </w:r>
            <w:r>
              <w:t>pg</w:t>
            </w:r>
            <w:r w:rsidR="007F194C">
              <w:t xml:space="preserve">s. 26 to </w:t>
            </w:r>
            <w:r w:rsidR="00677E69">
              <w:t xml:space="preserve">29. It </w:t>
            </w:r>
            <w:r w:rsidR="008E42FC">
              <w:t xml:space="preserve">can be found at: </w:t>
            </w:r>
            <w:hyperlink r:id="rId11" w:history="1">
              <w:r w:rsidR="008E42FC" w:rsidRPr="000361F4">
                <w:rPr>
                  <w:rStyle w:val="Hyperlink"/>
                </w:rPr>
                <w:t>http://eschs.weebly.com/uploads/2/5/1/7/25174886/mind-sets-and-equitable-education.pdf</w:t>
              </w:r>
            </w:hyperlink>
          </w:p>
          <w:p w14:paraId="1ECBAE86" w14:textId="77777777" w:rsidR="008E42FC" w:rsidRDefault="008E42FC" w:rsidP="00D02D8D"/>
          <w:p w14:paraId="06F302E1" w14:textId="77777777" w:rsidR="00A827DE" w:rsidRDefault="00A827DE" w:rsidP="00D02D8D">
            <w:r w:rsidRPr="000A54D8">
              <w:rPr>
                <w:b/>
              </w:rPr>
              <w:t xml:space="preserve">Discuss with a colleague or a team: </w:t>
            </w:r>
            <w:r>
              <w:t xml:space="preserve">What do I believe about my students’ ability? What do my students believe about their own ability? What do my students believe that I believe? </w:t>
            </w:r>
          </w:p>
          <w:p w14:paraId="33C22E0E" w14:textId="77777777" w:rsidR="00A827DE" w:rsidRDefault="00A827DE" w:rsidP="00D02D8D"/>
          <w:p w14:paraId="3B6DB164" w14:textId="4D28C256" w:rsidR="00A827DE" w:rsidRDefault="00A827DE" w:rsidP="00D02D8D">
            <w:r w:rsidRPr="000A54D8">
              <w:rPr>
                <w:b/>
              </w:rPr>
              <w:t xml:space="preserve">Pick a student: </w:t>
            </w:r>
            <w:r>
              <w:t>Pick a st</w:t>
            </w:r>
            <w:r w:rsidR="00597744">
              <w:t xml:space="preserve">udent and plan how to help </w:t>
            </w:r>
            <w:r w:rsidR="00051F52">
              <w:t>that student</w:t>
            </w:r>
            <w:r w:rsidR="00597744">
              <w:t xml:space="preserve"> change his or </w:t>
            </w:r>
            <w:r>
              <w:t>her thinking</w:t>
            </w:r>
            <w:r w:rsidR="00597744">
              <w:t xml:space="preserve"> about </w:t>
            </w:r>
            <w:r w:rsidR="00051F52">
              <w:t>what he or she can accomplish</w:t>
            </w:r>
            <w:r>
              <w:t xml:space="preserve">.  What </w:t>
            </w:r>
            <w:proofErr w:type="gramStart"/>
            <w:r>
              <w:t>will  you</w:t>
            </w:r>
            <w:proofErr w:type="gramEnd"/>
            <w:r>
              <w:t xml:space="preserve"> do? What will you say?</w:t>
            </w:r>
          </w:p>
          <w:p w14:paraId="7A3B2F27" w14:textId="77777777" w:rsidR="00A827DE" w:rsidRDefault="00A827DE" w:rsidP="00D02D8D"/>
        </w:tc>
      </w:tr>
    </w:tbl>
    <w:p w14:paraId="7751174A" w14:textId="77777777" w:rsidR="00A827DE" w:rsidRDefault="00A827DE" w:rsidP="00A827DE"/>
    <w:p w14:paraId="753EEAD9" w14:textId="77777777" w:rsidR="00327059" w:rsidRDefault="00327059" w:rsidP="00A827DE"/>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827DE" w14:paraId="536113C7" w14:textId="77777777" w:rsidTr="00D02D8D">
        <w:tc>
          <w:tcPr>
            <w:tcW w:w="10080" w:type="dxa"/>
            <w:tcMar>
              <w:top w:w="100" w:type="dxa"/>
              <w:left w:w="100" w:type="dxa"/>
              <w:bottom w:w="100" w:type="dxa"/>
              <w:right w:w="100" w:type="dxa"/>
            </w:tcMar>
          </w:tcPr>
          <w:p w14:paraId="7CF7639F" w14:textId="2BB77A4F" w:rsidR="00A827DE" w:rsidRDefault="00A827DE" w:rsidP="00D02D8D">
            <w:pPr>
              <w:widowControl w:val="0"/>
            </w:pPr>
            <w:r w:rsidRPr="000A54D8">
              <w:rPr>
                <w:b/>
              </w:rPr>
              <w:t xml:space="preserve"> ACTIVITY - Uncover the Story of Your Classroom</w:t>
            </w:r>
          </w:p>
          <w:p w14:paraId="39B5C0C6" w14:textId="77777777" w:rsidR="00A827DE" w:rsidRDefault="00A827DE" w:rsidP="00D02D8D">
            <w:pPr>
              <w:widowControl w:val="0"/>
            </w:pPr>
          </w:p>
          <w:p w14:paraId="0CB14912" w14:textId="4BB4851A" w:rsidR="00A827DE" w:rsidRDefault="00A827DE" w:rsidP="00051F52">
            <w:pPr>
              <w:pStyle w:val="ListParagraph"/>
              <w:widowControl w:val="0"/>
              <w:numPr>
                <w:ilvl w:val="0"/>
                <w:numId w:val="5"/>
              </w:numPr>
            </w:pPr>
            <w:r>
              <w:t>Create a lis</w:t>
            </w:r>
            <w:r w:rsidR="00051F52">
              <w:t>t of twenty-five adjectives: 10</w:t>
            </w:r>
            <w:r>
              <w:t xml:space="preserve"> </w:t>
            </w:r>
            <w:proofErr w:type="gramStart"/>
            <w:r>
              <w:t>positive</w:t>
            </w:r>
            <w:proofErr w:type="gramEnd"/>
            <w:r w:rsidR="00051F52">
              <w:t xml:space="preserve"> (engaged, interested, curious…</w:t>
            </w:r>
            <w:r>
              <w:t>), five neutra</w:t>
            </w:r>
            <w:r w:rsidR="00051F52">
              <w:t>l (coasting, comfortable, fine…) and 10</w:t>
            </w:r>
            <w:r>
              <w:t xml:space="preserve"> negat</w:t>
            </w:r>
            <w:r w:rsidR="00051F52">
              <w:t>ive (tired, bored, frustrated…).</w:t>
            </w:r>
          </w:p>
          <w:p w14:paraId="084CE28D" w14:textId="77777777" w:rsidR="00A827DE" w:rsidRDefault="00A827DE" w:rsidP="00051F52">
            <w:pPr>
              <w:pStyle w:val="ListParagraph"/>
              <w:widowControl w:val="0"/>
              <w:numPr>
                <w:ilvl w:val="0"/>
                <w:numId w:val="5"/>
              </w:numPr>
            </w:pPr>
            <w:r>
              <w:t xml:space="preserve">Ask students to select three words from the list to describe how they usually feel in school in general or in your class in particular. </w:t>
            </w:r>
          </w:p>
          <w:p w14:paraId="089BF8BE" w14:textId="77777777" w:rsidR="00A827DE" w:rsidRDefault="00A827DE" w:rsidP="00051F52">
            <w:pPr>
              <w:pStyle w:val="ListParagraph"/>
              <w:widowControl w:val="0"/>
              <w:numPr>
                <w:ilvl w:val="0"/>
                <w:numId w:val="5"/>
              </w:numPr>
            </w:pPr>
            <w:r>
              <w:t xml:space="preserve">Include a question asking students to identify how they see themselves academically: near the top, above average, average. </w:t>
            </w:r>
          </w:p>
          <w:p w14:paraId="62A2495E" w14:textId="22F99E4C" w:rsidR="00A827DE" w:rsidRDefault="00A827DE" w:rsidP="00051F52">
            <w:pPr>
              <w:pStyle w:val="ListParagraph"/>
              <w:widowControl w:val="0"/>
              <w:numPr>
                <w:ilvl w:val="0"/>
                <w:numId w:val="5"/>
              </w:numPr>
            </w:pPr>
            <w:r>
              <w:t xml:space="preserve">What does the pattern </w:t>
            </w:r>
            <w:r w:rsidR="00051F52">
              <w:t xml:space="preserve">of their </w:t>
            </w:r>
            <w:r>
              <w:t>response</w:t>
            </w:r>
            <w:r w:rsidR="00051F52">
              <w:t>s</w:t>
            </w:r>
            <w:r>
              <w:t xml:space="preserve"> tell you?</w:t>
            </w:r>
            <w:r w:rsidR="00051F52">
              <w:t xml:space="preserve"> </w:t>
            </w:r>
          </w:p>
          <w:p w14:paraId="5D3A96C9" w14:textId="6763154D" w:rsidR="00051F52" w:rsidRDefault="00051F52" w:rsidP="00051F52">
            <w:pPr>
              <w:pStyle w:val="ListParagraph"/>
              <w:widowControl w:val="0"/>
              <w:numPr>
                <w:ilvl w:val="0"/>
                <w:numId w:val="5"/>
              </w:numPr>
            </w:pPr>
            <w:r>
              <w:t xml:space="preserve">If the pattern shows that some students are disengaged, think about what you might do to change the classroom to turn their boredom or frustration into excitement and </w:t>
            </w:r>
            <w:proofErr w:type="spellStart"/>
            <w:r>
              <w:t>curiousity</w:t>
            </w:r>
            <w:proofErr w:type="spellEnd"/>
            <w:r>
              <w:t>.</w:t>
            </w:r>
          </w:p>
          <w:p w14:paraId="06E58BC5" w14:textId="77777777" w:rsidR="00A827DE" w:rsidRDefault="00A827DE" w:rsidP="00D02D8D">
            <w:pPr>
              <w:widowControl w:val="0"/>
            </w:pPr>
          </w:p>
          <w:p w14:paraId="54BCEF47" w14:textId="6ADF30CF" w:rsidR="00A827DE" w:rsidRDefault="00051F52" w:rsidP="00D02D8D">
            <w:pPr>
              <w:widowControl w:val="0"/>
            </w:pPr>
            <w:r>
              <w:t xml:space="preserve">NOTE: This activity is adapted from </w:t>
            </w:r>
            <w:proofErr w:type="spellStart"/>
            <w:r>
              <w:t>Richhart</w:t>
            </w:r>
            <w:proofErr w:type="spellEnd"/>
            <w:r>
              <w:t xml:space="preserve"> (2015).</w:t>
            </w:r>
          </w:p>
          <w:p w14:paraId="26FABD73" w14:textId="77777777" w:rsidR="00051F52" w:rsidRDefault="00051F52" w:rsidP="00D02D8D">
            <w:pPr>
              <w:widowControl w:val="0"/>
            </w:pPr>
          </w:p>
          <w:p w14:paraId="6F346A2E" w14:textId="77777777" w:rsidR="00A827DE" w:rsidRDefault="00A827DE" w:rsidP="00D02D8D">
            <w:pPr>
              <w:widowControl w:val="0"/>
            </w:pPr>
            <w:r w:rsidRPr="000A54D8">
              <w:rPr>
                <w:b/>
                <w:color w:val="990000"/>
                <w:sz w:val="28"/>
                <w:szCs w:val="28"/>
              </w:rPr>
              <w:t>OIP Connections</w:t>
            </w:r>
            <w:r>
              <w:t xml:space="preserve">  </w:t>
            </w:r>
          </w:p>
          <w:p w14:paraId="48DA5C6C" w14:textId="77777777" w:rsidR="00A827DE" w:rsidRDefault="00A827DE" w:rsidP="00D02D8D">
            <w:pPr>
              <w:widowControl w:val="0"/>
            </w:pPr>
          </w:p>
          <w:p w14:paraId="7C1882DB" w14:textId="5A4D71F6" w:rsidR="00A827DE" w:rsidRDefault="00A827DE" w:rsidP="00360C1F">
            <w:pPr>
              <w:widowControl w:val="0"/>
            </w:pPr>
            <w:r w:rsidRPr="000A54D8">
              <w:rPr>
                <w:b/>
              </w:rPr>
              <w:t>TBT/BLT/DLT</w:t>
            </w:r>
            <w:r>
              <w:t xml:space="preserve"> </w:t>
            </w:r>
            <w:r w:rsidR="00360C1F">
              <w:t>–</w:t>
            </w:r>
            <w:r>
              <w:t xml:space="preserve"> </w:t>
            </w:r>
            <w:r w:rsidR="00360C1F">
              <w:t xml:space="preserve">Use this activity across classrooms, a whole school, or a whole district. </w:t>
            </w:r>
            <w:r>
              <w:t xml:space="preserve">Share results from </w:t>
            </w:r>
            <w:r w:rsidR="00360C1F">
              <w:t>your survey of student</w:t>
            </w:r>
            <w:r>
              <w:t>s</w:t>
            </w:r>
            <w:r w:rsidR="00360C1F">
              <w:t xml:space="preserve"> with the DLT, BLT, and/or TBT</w:t>
            </w:r>
            <w:r>
              <w:t xml:space="preserve">. Develop a </w:t>
            </w:r>
            <w:r w:rsidR="00360C1F">
              <w:t xml:space="preserve">list of strategies for </w:t>
            </w:r>
            <w:r w:rsidR="00360C1F">
              <w:lastRenderedPageBreak/>
              <w:t xml:space="preserve">increasing </w:t>
            </w:r>
            <w:r w:rsidR="003D0E1E">
              <w:t xml:space="preserve">expectations for student performance, support for student success, and overall levels of </w:t>
            </w:r>
            <w:r w:rsidR="00360C1F">
              <w:t>student engagement.</w:t>
            </w:r>
          </w:p>
        </w:tc>
      </w:tr>
    </w:tbl>
    <w:p w14:paraId="4E409BD3" w14:textId="77777777" w:rsidR="00A827DE" w:rsidRDefault="00A827DE" w:rsidP="00A827DE"/>
    <w:p w14:paraId="1FA6C206" w14:textId="77777777" w:rsidR="00A827DE" w:rsidRPr="002F0F3C" w:rsidRDefault="002F0F3C" w:rsidP="00A827DE">
      <w:pPr>
        <w:pStyle w:val="Heading2"/>
        <w:rPr>
          <w:color w:val="auto"/>
        </w:rPr>
      </w:pPr>
      <w:r w:rsidRPr="002F0F3C">
        <w:rPr>
          <w:color w:val="auto"/>
        </w:rPr>
        <w:t>References</w:t>
      </w:r>
      <w:r w:rsidR="00727043">
        <w:rPr>
          <w:color w:val="auto"/>
        </w:rPr>
        <w:t>:</w:t>
      </w:r>
    </w:p>
    <w:p w14:paraId="5B6E27E2" w14:textId="103F93B5" w:rsidR="00E33E52" w:rsidRDefault="00E33E52" w:rsidP="00051F52">
      <w:pPr>
        <w:ind w:left="720" w:hanging="720"/>
        <w:rPr>
          <w:color w:val="333333"/>
        </w:rPr>
      </w:pPr>
      <w:r w:rsidRPr="00040305">
        <w:rPr>
          <w:color w:val="333333"/>
        </w:rPr>
        <w:t>Hattie, J.</w:t>
      </w:r>
      <w:r w:rsidR="006863A1">
        <w:rPr>
          <w:color w:val="333333"/>
        </w:rPr>
        <w:t>,</w:t>
      </w:r>
      <w:r w:rsidRPr="00040305">
        <w:rPr>
          <w:color w:val="333333"/>
        </w:rPr>
        <w:t xml:space="preserve"> &amp; Yates, G.C.R. (2014). </w:t>
      </w:r>
      <w:r w:rsidR="001235DE">
        <w:rPr>
          <w:i/>
          <w:color w:val="333333"/>
        </w:rPr>
        <w:t>Visible learning and the science of how we l</w:t>
      </w:r>
      <w:r w:rsidRPr="00040305">
        <w:rPr>
          <w:i/>
          <w:color w:val="333333"/>
        </w:rPr>
        <w:t>earn.</w:t>
      </w:r>
      <w:r w:rsidRPr="00040305">
        <w:rPr>
          <w:color w:val="333333"/>
        </w:rPr>
        <w:t xml:space="preserve"> New York, NY: Routledge.</w:t>
      </w:r>
    </w:p>
    <w:p w14:paraId="7C1C7994" w14:textId="77777777" w:rsidR="00051F52" w:rsidRPr="00040305" w:rsidRDefault="00051F52" w:rsidP="00051F52">
      <w:pPr>
        <w:ind w:left="720" w:hanging="720"/>
        <w:rPr>
          <w:color w:val="333333"/>
        </w:rPr>
      </w:pPr>
    </w:p>
    <w:p w14:paraId="2BFD02C9" w14:textId="793EC609" w:rsidR="00040305" w:rsidRDefault="00D46A09" w:rsidP="00051F52">
      <w:pPr>
        <w:pStyle w:val="Heading1"/>
        <w:shd w:val="clear" w:color="auto" w:fill="FFFFFF"/>
        <w:spacing w:before="0"/>
        <w:ind w:left="720" w:hanging="720"/>
        <w:rPr>
          <w:rStyle w:val="Subtitle1"/>
          <w:rFonts w:ascii="Arial" w:hAnsi="Arial" w:cs="Arial"/>
          <w:b w:val="0"/>
          <w:bCs w:val="0"/>
          <w:color w:val="333333"/>
          <w:sz w:val="22"/>
          <w:szCs w:val="22"/>
        </w:rPr>
      </w:pPr>
      <w:r w:rsidRPr="00040305">
        <w:rPr>
          <w:rFonts w:ascii="Arial" w:hAnsi="Arial" w:cs="Arial"/>
          <w:b w:val="0"/>
          <w:color w:val="auto"/>
          <w:sz w:val="22"/>
          <w:szCs w:val="22"/>
        </w:rPr>
        <w:t>Novak, K. (2016).</w:t>
      </w:r>
      <w:r w:rsidR="00944F78" w:rsidRPr="00040305">
        <w:rPr>
          <w:rFonts w:ascii="Arial" w:hAnsi="Arial" w:cs="Arial"/>
          <w:b w:val="0"/>
          <w:color w:val="auto"/>
          <w:sz w:val="22"/>
          <w:szCs w:val="22"/>
        </w:rPr>
        <w:t xml:space="preserve"> </w:t>
      </w:r>
      <w:r w:rsidR="00051F52">
        <w:rPr>
          <w:rStyle w:val="fn"/>
          <w:rFonts w:ascii="Arial" w:hAnsi="Arial" w:cs="Arial"/>
          <w:b w:val="0"/>
          <w:i/>
          <w:color w:val="auto"/>
          <w:sz w:val="22"/>
          <w:szCs w:val="22"/>
        </w:rPr>
        <w:t>UD</w:t>
      </w:r>
      <w:r w:rsidR="008E1637" w:rsidRPr="00040305">
        <w:rPr>
          <w:rStyle w:val="fn"/>
          <w:rFonts w:ascii="Arial" w:hAnsi="Arial" w:cs="Arial"/>
          <w:b w:val="0"/>
          <w:i/>
          <w:color w:val="auto"/>
          <w:sz w:val="22"/>
          <w:szCs w:val="22"/>
        </w:rPr>
        <w:t xml:space="preserve">L </w:t>
      </w:r>
      <w:proofErr w:type="gramStart"/>
      <w:r w:rsidR="008E1637" w:rsidRPr="00040305">
        <w:rPr>
          <w:rStyle w:val="fn"/>
          <w:rFonts w:ascii="Arial" w:hAnsi="Arial" w:cs="Arial"/>
          <w:b w:val="0"/>
          <w:i/>
          <w:color w:val="auto"/>
          <w:sz w:val="22"/>
          <w:szCs w:val="22"/>
        </w:rPr>
        <w:t>now!</w:t>
      </w:r>
      <w:r w:rsidR="008E1637" w:rsidRPr="00040305">
        <w:rPr>
          <w:rFonts w:ascii="Arial" w:hAnsi="Arial" w:cs="Arial"/>
          <w:b w:val="0"/>
          <w:i/>
          <w:color w:val="auto"/>
          <w:sz w:val="22"/>
          <w:szCs w:val="22"/>
        </w:rPr>
        <w:t>:</w:t>
      </w:r>
      <w:proofErr w:type="gramEnd"/>
      <w:r w:rsidR="008E1637" w:rsidRPr="00040305">
        <w:rPr>
          <w:rStyle w:val="apple-converted-space"/>
          <w:rFonts w:ascii="Arial" w:hAnsi="Arial" w:cs="Arial"/>
          <w:i/>
          <w:color w:val="333333"/>
          <w:sz w:val="22"/>
          <w:szCs w:val="22"/>
        </w:rPr>
        <w:t> </w:t>
      </w:r>
      <w:r w:rsidR="008E1637" w:rsidRPr="00040305">
        <w:rPr>
          <w:rStyle w:val="Subtitle1"/>
          <w:rFonts w:ascii="Arial" w:hAnsi="Arial" w:cs="Arial"/>
          <w:b w:val="0"/>
          <w:bCs w:val="0"/>
          <w:i/>
          <w:color w:val="333333"/>
          <w:sz w:val="22"/>
          <w:szCs w:val="22"/>
        </w:rPr>
        <w:t>A teacher's Monday morning guide to implementing the common core state standards using Universal Design for Learning</w:t>
      </w:r>
      <w:r w:rsidR="00446284" w:rsidRPr="00040305">
        <w:rPr>
          <w:rStyle w:val="Subtitle1"/>
          <w:rFonts w:ascii="Arial" w:hAnsi="Arial" w:cs="Arial"/>
          <w:b w:val="0"/>
          <w:bCs w:val="0"/>
          <w:i/>
          <w:color w:val="333333"/>
          <w:sz w:val="22"/>
          <w:szCs w:val="22"/>
        </w:rPr>
        <w:t>.</w:t>
      </w:r>
      <w:r w:rsidR="002241B1" w:rsidRPr="00040305">
        <w:rPr>
          <w:rStyle w:val="Subtitle1"/>
          <w:rFonts w:ascii="Arial" w:hAnsi="Arial" w:cs="Arial"/>
          <w:b w:val="0"/>
          <w:bCs w:val="0"/>
          <w:i/>
          <w:color w:val="333333"/>
          <w:sz w:val="22"/>
          <w:szCs w:val="22"/>
        </w:rPr>
        <w:t xml:space="preserve"> </w:t>
      </w:r>
      <w:r w:rsidR="00446284" w:rsidRPr="00040305">
        <w:rPr>
          <w:rStyle w:val="Subtitle1"/>
          <w:rFonts w:ascii="Arial" w:hAnsi="Arial" w:cs="Arial"/>
          <w:b w:val="0"/>
          <w:bCs w:val="0"/>
          <w:color w:val="333333"/>
          <w:sz w:val="22"/>
          <w:szCs w:val="22"/>
        </w:rPr>
        <w:t>Wakefield, MA:</w:t>
      </w:r>
      <w:r w:rsidR="00446284" w:rsidRPr="00040305">
        <w:rPr>
          <w:rStyle w:val="Subtitle1"/>
          <w:rFonts w:ascii="Arial" w:hAnsi="Arial" w:cs="Arial"/>
          <w:b w:val="0"/>
          <w:bCs w:val="0"/>
          <w:i/>
          <w:color w:val="333333"/>
          <w:sz w:val="22"/>
          <w:szCs w:val="22"/>
        </w:rPr>
        <w:t xml:space="preserve"> </w:t>
      </w:r>
      <w:r w:rsidR="002241B1" w:rsidRPr="00040305">
        <w:rPr>
          <w:rStyle w:val="Subtitle1"/>
          <w:rFonts w:ascii="Arial" w:hAnsi="Arial" w:cs="Arial"/>
          <w:b w:val="0"/>
          <w:bCs w:val="0"/>
          <w:color w:val="333333"/>
          <w:sz w:val="22"/>
          <w:szCs w:val="22"/>
        </w:rPr>
        <w:t>C</w:t>
      </w:r>
      <w:r w:rsidR="006863A1">
        <w:rPr>
          <w:rStyle w:val="Subtitle1"/>
          <w:rFonts w:ascii="Arial" w:hAnsi="Arial" w:cs="Arial"/>
          <w:b w:val="0"/>
          <w:bCs w:val="0"/>
          <w:color w:val="333333"/>
          <w:sz w:val="22"/>
          <w:szCs w:val="22"/>
        </w:rPr>
        <w:t>AST</w:t>
      </w:r>
      <w:r w:rsidR="002241B1" w:rsidRPr="00040305">
        <w:rPr>
          <w:rStyle w:val="Subtitle1"/>
          <w:rFonts w:ascii="Arial" w:hAnsi="Arial" w:cs="Arial"/>
          <w:b w:val="0"/>
          <w:bCs w:val="0"/>
          <w:color w:val="333333"/>
          <w:sz w:val="22"/>
          <w:szCs w:val="22"/>
        </w:rPr>
        <w:t>.</w:t>
      </w:r>
    </w:p>
    <w:p w14:paraId="1E90FC34" w14:textId="77777777" w:rsidR="000118AF" w:rsidRPr="000118AF" w:rsidRDefault="000118AF" w:rsidP="000118AF"/>
    <w:p w14:paraId="2460B243" w14:textId="77777777" w:rsidR="00CF4137" w:rsidRDefault="00311F71" w:rsidP="00051F52">
      <w:pPr>
        <w:pStyle w:val="Heading1"/>
        <w:shd w:val="clear" w:color="auto" w:fill="FFFFFF"/>
        <w:spacing w:before="0"/>
        <w:ind w:left="720" w:hanging="720"/>
        <w:rPr>
          <w:rFonts w:ascii="Arial" w:hAnsi="Arial" w:cs="Arial"/>
          <w:b w:val="0"/>
          <w:color w:val="auto"/>
          <w:sz w:val="22"/>
          <w:szCs w:val="22"/>
        </w:rPr>
      </w:pPr>
      <w:r w:rsidRPr="00040305">
        <w:rPr>
          <w:rFonts w:ascii="Arial" w:hAnsi="Arial" w:cs="Arial"/>
          <w:b w:val="0"/>
          <w:color w:val="auto"/>
          <w:sz w:val="22"/>
          <w:szCs w:val="22"/>
        </w:rPr>
        <w:t xml:space="preserve">Reeves, D. B. (2010). </w:t>
      </w:r>
      <w:r w:rsidRPr="00040305">
        <w:rPr>
          <w:rFonts w:ascii="Arial" w:hAnsi="Arial" w:cs="Arial"/>
          <w:b w:val="0"/>
          <w:i/>
          <w:color w:val="auto"/>
          <w:sz w:val="22"/>
          <w:szCs w:val="22"/>
        </w:rPr>
        <w:t>Finding your leadership f</w:t>
      </w:r>
      <w:r w:rsidR="00414CAB" w:rsidRPr="00040305">
        <w:rPr>
          <w:rFonts w:ascii="Arial" w:hAnsi="Arial" w:cs="Arial"/>
          <w:b w:val="0"/>
          <w:i/>
          <w:color w:val="auto"/>
          <w:sz w:val="22"/>
          <w:szCs w:val="22"/>
        </w:rPr>
        <w:t xml:space="preserve">ocus: </w:t>
      </w:r>
      <w:r w:rsidRPr="00040305">
        <w:rPr>
          <w:rFonts w:ascii="Arial" w:hAnsi="Arial" w:cs="Arial"/>
          <w:b w:val="0"/>
          <w:i/>
          <w:color w:val="auto"/>
          <w:sz w:val="22"/>
          <w:szCs w:val="22"/>
        </w:rPr>
        <w:t>What m</w:t>
      </w:r>
      <w:r w:rsidR="00414CAB" w:rsidRPr="00040305">
        <w:rPr>
          <w:rFonts w:ascii="Arial" w:hAnsi="Arial" w:cs="Arial"/>
          <w:b w:val="0"/>
          <w:i/>
          <w:color w:val="auto"/>
          <w:sz w:val="22"/>
          <w:szCs w:val="22"/>
        </w:rPr>
        <w:t xml:space="preserve">atters for </w:t>
      </w:r>
      <w:r w:rsidRPr="00040305">
        <w:rPr>
          <w:rFonts w:ascii="Arial" w:hAnsi="Arial" w:cs="Arial"/>
          <w:b w:val="0"/>
          <w:i/>
          <w:color w:val="auto"/>
          <w:sz w:val="22"/>
          <w:szCs w:val="22"/>
        </w:rPr>
        <w:t>student r</w:t>
      </w:r>
      <w:r w:rsidR="00414CAB" w:rsidRPr="00040305">
        <w:rPr>
          <w:rFonts w:ascii="Arial" w:hAnsi="Arial" w:cs="Arial"/>
          <w:b w:val="0"/>
          <w:i/>
          <w:color w:val="auto"/>
          <w:sz w:val="22"/>
          <w:szCs w:val="22"/>
        </w:rPr>
        <w:t>esults</w:t>
      </w:r>
      <w:bookmarkStart w:id="2" w:name="h.93n831cbkypm" w:colFirst="0" w:colLast="0"/>
      <w:bookmarkEnd w:id="2"/>
      <w:r w:rsidR="00040305">
        <w:rPr>
          <w:rFonts w:ascii="Arial" w:hAnsi="Arial" w:cs="Arial"/>
          <w:b w:val="0"/>
          <w:color w:val="auto"/>
          <w:sz w:val="22"/>
          <w:szCs w:val="22"/>
        </w:rPr>
        <w:t xml:space="preserve">. </w:t>
      </w:r>
      <w:r w:rsidR="002F0F3C" w:rsidRPr="00040305">
        <w:rPr>
          <w:rFonts w:ascii="Arial" w:hAnsi="Arial" w:cs="Arial"/>
          <w:b w:val="0"/>
          <w:color w:val="auto"/>
          <w:sz w:val="22"/>
          <w:szCs w:val="22"/>
        </w:rPr>
        <w:t>New York, NY: Teachers College.</w:t>
      </w:r>
    </w:p>
    <w:p w14:paraId="3B28245E" w14:textId="77777777" w:rsidR="000118AF" w:rsidRPr="000118AF" w:rsidRDefault="000118AF" w:rsidP="000118AF"/>
    <w:p w14:paraId="2CA374A1" w14:textId="77777777" w:rsidR="00872B08" w:rsidRDefault="00D34859" w:rsidP="00051F52">
      <w:pPr>
        <w:pStyle w:val="Heading1"/>
        <w:shd w:val="clear" w:color="auto" w:fill="FFFFFF"/>
        <w:spacing w:before="0"/>
        <w:ind w:left="720" w:hanging="720"/>
        <w:rPr>
          <w:rFonts w:ascii="Arial" w:hAnsi="Arial" w:cs="Arial"/>
          <w:b w:val="0"/>
          <w:color w:val="auto"/>
          <w:sz w:val="22"/>
          <w:szCs w:val="22"/>
        </w:rPr>
      </w:pPr>
      <w:r w:rsidRPr="00CF4137">
        <w:rPr>
          <w:rFonts w:ascii="Arial" w:hAnsi="Arial" w:cs="Arial"/>
          <w:b w:val="0"/>
          <w:color w:val="auto"/>
          <w:sz w:val="22"/>
          <w:szCs w:val="22"/>
        </w:rPr>
        <w:t>Reeves</w:t>
      </w:r>
      <w:r w:rsidR="00CF4137">
        <w:rPr>
          <w:rFonts w:ascii="Arial" w:hAnsi="Arial" w:cs="Arial"/>
          <w:b w:val="0"/>
          <w:color w:val="auto"/>
          <w:sz w:val="22"/>
          <w:szCs w:val="22"/>
        </w:rPr>
        <w:t>, D. B</w:t>
      </w:r>
      <w:r w:rsidR="00DF1E99" w:rsidRPr="00CF4137">
        <w:rPr>
          <w:rFonts w:ascii="Arial" w:hAnsi="Arial" w:cs="Arial"/>
          <w:b w:val="0"/>
          <w:color w:val="auto"/>
          <w:sz w:val="22"/>
          <w:szCs w:val="22"/>
        </w:rPr>
        <w:t xml:space="preserve">. (2008). </w:t>
      </w:r>
      <w:r w:rsidR="00DF1E99" w:rsidRPr="002042DB">
        <w:rPr>
          <w:rFonts w:ascii="Arial" w:hAnsi="Arial" w:cs="Arial"/>
          <w:b w:val="0"/>
          <w:i/>
          <w:color w:val="auto"/>
          <w:sz w:val="22"/>
          <w:szCs w:val="22"/>
        </w:rPr>
        <w:t>Reframing teacher leadership to improve your school</w:t>
      </w:r>
      <w:r w:rsidR="00DF1E99" w:rsidRPr="00CF4137">
        <w:rPr>
          <w:rFonts w:ascii="Arial" w:hAnsi="Arial" w:cs="Arial"/>
          <w:b w:val="0"/>
          <w:color w:val="auto"/>
          <w:sz w:val="22"/>
          <w:szCs w:val="22"/>
        </w:rPr>
        <w:t>.</w:t>
      </w:r>
      <w:r w:rsidR="005A6FFB" w:rsidRPr="00CF4137">
        <w:rPr>
          <w:rFonts w:ascii="Arial" w:hAnsi="Arial" w:cs="Arial"/>
          <w:b w:val="0"/>
          <w:color w:val="auto"/>
          <w:sz w:val="22"/>
          <w:szCs w:val="22"/>
        </w:rPr>
        <w:t xml:space="preserve"> Alexandria, VA: ASCD.</w:t>
      </w:r>
    </w:p>
    <w:p w14:paraId="0E07FCF3" w14:textId="77777777" w:rsidR="000118AF" w:rsidRPr="000118AF" w:rsidRDefault="000118AF" w:rsidP="000118AF"/>
    <w:p w14:paraId="15BE187C" w14:textId="784052C8" w:rsidR="00CF4137" w:rsidRDefault="00040305" w:rsidP="00051F52">
      <w:pPr>
        <w:widowControl w:val="0"/>
        <w:ind w:left="720" w:hanging="720"/>
      </w:pPr>
      <w:proofErr w:type="spellStart"/>
      <w:r w:rsidRPr="00040305">
        <w:t>Ritchhart</w:t>
      </w:r>
      <w:proofErr w:type="spellEnd"/>
      <w:r w:rsidRPr="00040305">
        <w:t xml:space="preserve">, R. (2015). </w:t>
      </w:r>
      <w:r w:rsidRPr="00040305">
        <w:rPr>
          <w:i/>
        </w:rPr>
        <w:t xml:space="preserve">Creating cultures of thinking. The 8 forces we must master to truly transform our schools. </w:t>
      </w:r>
      <w:r w:rsidRPr="00512BCE">
        <w:t>San Francisco, CA:</w:t>
      </w:r>
      <w:r w:rsidRPr="00040305">
        <w:rPr>
          <w:i/>
        </w:rPr>
        <w:t xml:space="preserve"> </w:t>
      </w:r>
      <w:proofErr w:type="spellStart"/>
      <w:r w:rsidRPr="00040305">
        <w:t>Jossey</w:t>
      </w:r>
      <w:proofErr w:type="spellEnd"/>
      <w:r w:rsidR="00CF4137">
        <w:t>-Bass.</w:t>
      </w:r>
    </w:p>
    <w:p w14:paraId="637F9EBD" w14:textId="77777777" w:rsidR="000118AF" w:rsidRDefault="000118AF" w:rsidP="00051F52">
      <w:pPr>
        <w:widowControl w:val="0"/>
        <w:ind w:left="720" w:hanging="720"/>
      </w:pPr>
    </w:p>
    <w:p w14:paraId="38BE1847" w14:textId="56B4CB40" w:rsidR="00872B08" w:rsidRDefault="00872B08" w:rsidP="00051F52">
      <w:pPr>
        <w:widowControl w:val="0"/>
        <w:ind w:left="720" w:hanging="720"/>
      </w:pPr>
      <w:proofErr w:type="spellStart"/>
      <w:r>
        <w:t>Saphier</w:t>
      </w:r>
      <w:proofErr w:type="spellEnd"/>
      <w:r>
        <w:t>, J., Haley-</w:t>
      </w:r>
      <w:proofErr w:type="spellStart"/>
      <w:r>
        <w:t>Speca</w:t>
      </w:r>
      <w:proofErr w:type="spellEnd"/>
      <w:r>
        <w:t>, M</w:t>
      </w:r>
      <w:r w:rsidR="006863A1">
        <w:t>.</w:t>
      </w:r>
      <w:r>
        <w:t xml:space="preserve"> A., &amp; Gower</w:t>
      </w:r>
      <w:r w:rsidR="00D34859">
        <w:t>, R</w:t>
      </w:r>
      <w:r>
        <w:t>.</w:t>
      </w:r>
      <w:r>
        <w:rPr>
          <w:color w:val="auto"/>
        </w:rPr>
        <w:t xml:space="preserve"> (2008).</w:t>
      </w:r>
      <w:r w:rsidR="00CD30C6">
        <w:rPr>
          <w:color w:val="auto"/>
        </w:rPr>
        <w:t xml:space="preserve"> </w:t>
      </w:r>
      <w:r w:rsidR="00CD30C6" w:rsidRPr="003878E5">
        <w:rPr>
          <w:i/>
          <w:color w:val="auto"/>
        </w:rPr>
        <w:t>T</w:t>
      </w:r>
      <w:r w:rsidR="00CD30C6" w:rsidRPr="007D5581">
        <w:rPr>
          <w:i/>
          <w:color w:val="auto"/>
        </w:rPr>
        <w:t xml:space="preserve">he skillful teacher: Building your teaching skills </w:t>
      </w:r>
      <w:r w:rsidR="00CD30C6">
        <w:rPr>
          <w:color w:val="auto"/>
        </w:rPr>
        <w:t>(6</w:t>
      </w:r>
      <w:r w:rsidR="00CD30C6" w:rsidRPr="00CD30C6">
        <w:rPr>
          <w:color w:val="auto"/>
          <w:vertAlign w:val="superscript"/>
        </w:rPr>
        <w:t>th</w:t>
      </w:r>
      <w:r w:rsidR="00CD30C6">
        <w:rPr>
          <w:color w:val="auto"/>
        </w:rPr>
        <w:t xml:space="preserve"> ed.).</w:t>
      </w:r>
      <w:r w:rsidR="00BB1CED">
        <w:rPr>
          <w:color w:val="auto"/>
        </w:rPr>
        <w:t xml:space="preserve"> </w:t>
      </w:r>
      <w:r w:rsidR="009E0A43">
        <w:rPr>
          <w:color w:val="auto"/>
        </w:rPr>
        <w:t>Acton</w:t>
      </w:r>
      <w:r w:rsidR="006863A1">
        <w:rPr>
          <w:color w:val="auto"/>
        </w:rPr>
        <w:t>,</w:t>
      </w:r>
      <w:r w:rsidR="009E0A43">
        <w:rPr>
          <w:color w:val="auto"/>
        </w:rPr>
        <w:t xml:space="preserve"> MA: </w:t>
      </w:r>
      <w:r w:rsidR="00BB1CED">
        <w:rPr>
          <w:color w:val="auto"/>
        </w:rPr>
        <w:t xml:space="preserve">Research for Better Teaching. </w:t>
      </w:r>
    </w:p>
    <w:p w14:paraId="6FB61D5A" w14:textId="77777777" w:rsidR="00872B08" w:rsidRDefault="00872B08" w:rsidP="002F0F3C">
      <w:pPr>
        <w:ind w:left="720" w:hanging="720"/>
      </w:pPr>
    </w:p>
    <w:p w14:paraId="3891036D" w14:textId="77777777" w:rsidR="006417DA" w:rsidRDefault="006417DA"/>
    <w:sectPr w:rsidR="006417DA" w:rsidSect="006417D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D490" w14:textId="77777777" w:rsidR="002248A1" w:rsidRDefault="002248A1" w:rsidP="00744B80">
      <w:r>
        <w:separator/>
      </w:r>
    </w:p>
  </w:endnote>
  <w:endnote w:type="continuationSeparator" w:id="0">
    <w:p w14:paraId="3CDC1B07" w14:textId="77777777" w:rsidR="002248A1" w:rsidRDefault="002248A1" w:rsidP="0074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5481" w14:textId="77777777" w:rsidR="00744B80" w:rsidRDefault="00744B80"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BAF68" w14:textId="77777777" w:rsidR="00744B80" w:rsidRDefault="00744B80" w:rsidP="00744B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8D03" w14:textId="77777777" w:rsidR="00744B80" w:rsidRDefault="00744B80"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059">
      <w:rPr>
        <w:rStyle w:val="PageNumber"/>
        <w:noProof/>
      </w:rPr>
      <w:t>1</w:t>
    </w:r>
    <w:r>
      <w:rPr>
        <w:rStyle w:val="PageNumber"/>
      </w:rPr>
      <w:fldChar w:fldCharType="end"/>
    </w:r>
  </w:p>
  <w:p w14:paraId="77729031" w14:textId="77777777" w:rsidR="00744B80" w:rsidRDefault="00744B80" w:rsidP="00744B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DA7B5" w14:textId="77777777" w:rsidR="002248A1" w:rsidRDefault="002248A1" w:rsidP="00744B80">
      <w:r>
        <w:separator/>
      </w:r>
    </w:p>
  </w:footnote>
  <w:footnote w:type="continuationSeparator" w:id="0">
    <w:p w14:paraId="795C68E5" w14:textId="77777777" w:rsidR="002248A1" w:rsidRDefault="002248A1" w:rsidP="00744B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5F93"/>
    <w:multiLevelType w:val="multilevel"/>
    <w:tmpl w:val="A3627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6E370E"/>
    <w:multiLevelType w:val="multilevel"/>
    <w:tmpl w:val="BC045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607F9E"/>
    <w:multiLevelType w:val="hybridMultilevel"/>
    <w:tmpl w:val="2E4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F626F"/>
    <w:multiLevelType w:val="multilevel"/>
    <w:tmpl w:val="F7DEC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052568"/>
    <w:multiLevelType w:val="multilevel"/>
    <w:tmpl w:val="61C09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DE"/>
    <w:rsid w:val="000118AF"/>
    <w:rsid w:val="00040305"/>
    <w:rsid w:val="00051BCC"/>
    <w:rsid w:val="00051F52"/>
    <w:rsid w:val="00093188"/>
    <w:rsid w:val="000A20CC"/>
    <w:rsid w:val="001235DE"/>
    <w:rsid w:val="00136764"/>
    <w:rsid w:val="001615DC"/>
    <w:rsid w:val="001B1807"/>
    <w:rsid w:val="001F1F01"/>
    <w:rsid w:val="002042DB"/>
    <w:rsid w:val="002241B1"/>
    <w:rsid w:val="002248A1"/>
    <w:rsid w:val="002B0568"/>
    <w:rsid w:val="002F0F3C"/>
    <w:rsid w:val="003069F0"/>
    <w:rsid w:val="00311F71"/>
    <w:rsid w:val="00327059"/>
    <w:rsid w:val="0032792D"/>
    <w:rsid w:val="00360C1F"/>
    <w:rsid w:val="003878E5"/>
    <w:rsid w:val="003D0E1E"/>
    <w:rsid w:val="0040362B"/>
    <w:rsid w:val="00414CAB"/>
    <w:rsid w:val="00446284"/>
    <w:rsid w:val="00486856"/>
    <w:rsid w:val="0048748C"/>
    <w:rsid w:val="00512BCE"/>
    <w:rsid w:val="0054260C"/>
    <w:rsid w:val="00597744"/>
    <w:rsid w:val="005A6FFB"/>
    <w:rsid w:val="00610F28"/>
    <w:rsid w:val="006417DA"/>
    <w:rsid w:val="00677E69"/>
    <w:rsid w:val="006863A1"/>
    <w:rsid w:val="00695128"/>
    <w:rsid w:val="006D01D7"/>
    <w:rsid w:val="006D3E6A"/>
    <w:rsid w:val="00710B4D"/>
    <w:rsid w:val="00727043"/>
    <w:rsid w:val="00744B80"/>
    <w:rsid w:val="00770E67"/>
    <w:rsid w:val="00793E01"/>
    <w:rsid w:val="007D5581"/>
    <w:rsid w:val="007D7AF2"/>
    <w:rsid w:val="007F194C"/>
    <w:rsid w:val="00872B08"/>
    <w:rsid w:val="008A5D6F"/>
    <w:rsid w:val="008C27C2"/>
    <w:rsid w:val="008E1637"/>
    <w:rsid w:val="008E42FC"/>
    <w:rsid w:val="00905F3A"/>
    <w:rsid w:val="009121DD"/>
    <w:rsid w:val="00924D3C"/>
    <w:rsid w:val="00944F78"/>
    <w:rsid w:val="009451BA"/>
    <w:rsid w:val="00976DE6"/>
    <w:rsid w:val="009966B5"/>
    <w:rsid w:val="009E0A43"/>
    <w:rsid w:val="00A827DE"/>
    <w:rsid w:val="00A94C43"/>
    <w:rsid w:val="00AD4296"/>
    <w:rsid w:val="00AF457B"/>
    <w:rsid w:val="00B02E53"/>
    <w:rsid w:val="00B53024"/>
    <w:rsid w:val="00B92801"/>
    <w:rsid w:val="00BB1CED"/>
    <w:rsid w:val="00CD30C6"/>
    <w:rsid w:val="00CD532D"/>
    <w:rsid w:val="00CF130E"/>
    <w:rsid w:val="00CF4137"/>
    <w:rsid w:val="00D34859"/>
    <w:rsid w:val="00D362F4"/>
    <w:rsid w:val="00D3647C"/>
    <w:rsid w:val="00D46A09"/>
    <w:rsid w:val="00D57FD4"/>
    <w:rsid w:val="00D92C1B"/>
    <w:rsid w:val="00DC2750"/>
    <w:rsid w:val="00DF1E99"/>
    <w:rsid w:val="00E16B21"/>
    <w:rsid w:val="00E33E52"/>
    <w:rsid w:val="00E85040"/>
    <w:rsid w:val="00EE5A05"/>
    <w:rsid w:val="00F77580"/>
    <w:rsid w:val="00F95914"/>
    <w:rsid w:val="00FA3938"/>
    <w:rsid w:val="00FB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E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7DE"/>
    <w:pPr>
      <w:spacing w:after="0" w:line="240" w:lineRule="auto"/>
    </w:pPr>
    <w:rPr>
      <w:rFonts w:ascii="Arial" w:eastAsia="Arial" w:hAnsi="Arial" w:cs="Arial"/>
      <w:color w:val="000000"/>
    </w:rPr>
  </w:style>
  <w:style w:type="paragraph" w:styleId="Heading1">
    <w:name w:val="heading 1"/>
    <w:basedOn w:val="Normal"/>
    <w:next w:val="Normal"/>
    <w:link w:val="Heading1Char"/>
    <w:uiPriority w:val="9"/>
    <w:qFormat/>
    <w:rsid w:val="008E1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A827DE"/>
    <w:pPr>
      <w:keepNext/>
      <w:keepLines/>
      <w:spacing w:before="100" w:after="1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7DE"/>
    <w:rPr>
      <w:rFonts w:ascii="Calibri" w:eastAsia="Calibri" w:hAnsi="Calibri" w:cs="Calibri"/>
      <w:b/>
      <w:color w:val="4F81BD"/>
      <w:sz w:val="26"/>
      <w:szCs w:val="26"/>
    </w:rPr>
  </w:style>
  <w:style w:type="paragraph" w:styleId="BalloonText">
    <w:name w:val="Balloon Text"/>
    <w:basedOn w:val="Normal"/>
    <w:link w:val="BalloonTextChar"/>
    <w:uiPriority w:val="99"/>
    <w:semiHidden/>
    <w:unhideWhenUsed/>
    <w:rsid w:val="00A827DE"/>
    <w:rPr>
      <w:rFonts w:ascii="Tahoma" w:hAnsi="Tahoma" w:cs="Tahoma"/>
      <w:sz w:val="16"/>
      <w:szCs w:val="16"/>
    </w:rPr>
  </w:style>
  <w:style w:type="character" w:customStyle="1" w:styleId="BalloonTextChar">
    <w:name w:val="Balloon Text Char"/>
    <w:basedOn w:val="DefaultParagraphFont"/>
    <w:link w:val="BalloonText"/>
    <w:uiPriority w:val="99"/>
    <w:semiHidden/>
    <w:rsid w:val="00A827DE"/>
    <w:rPr>
      <w:rFonts w:ascii="Tahoma" w:eastAsia="Arial" w:hAnsi="Tahoma" w:cs="Tahoma"/>
      <w:color w:val="000000"/>
      <w:sz w:val="16"/>
      <w:szCs w:val="16"/>
    </w:rPr>
  </w:style>
  <w:style w:type="character" w:customStyle="1" w:styleId="Heading1Char">
    <w:name w:val="Heading 1 Char"/>
    <w:basedOn w:val="DefaultParagraphFont"/>
    <w:link w:val="Heading1"/>
    <w:uiPriority w:val="9"/>
    <w:rsid w:val="008E1637"/>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8E1637"/>
  </w:style>
  <w:style w:type="character" w:customStyle="1" w:styleId="apple-converted-space">
    <w:name w:val="apple-converted-space"/>
    <w:basedOn w:val="DefaultParagraphFont"/>
    <w:rsid w:val="008E1637"/>
  </w:style>
  <w:style w:type="character" w:customStyle="1" w:styleId="Subtitle1">
    <w:name w:val="Subtitle1"/>
    <w:basedOn w:val="DefaultParagraphFont"/>
    <w:rsid w:val="008E1637"/>
  </w:style>
  <w:style w:type="character" w:styleId="Hyperlink">
    <w:name w:val="Hyperlink"/>
    <w:basedOn w:val="DefaultParagraphFont"/>
    <w:uiPriority w:val="99"/>
    <w:unhideWhenUsed/>
    <w:rsid w:val="008E42FC"/>
    <w:rPr>
      <w:color w:val="0000FF" w:themeColor="hyperlink"/>
      <w:u w:val="single"/>
    </w:rPr>
  </w:style>
  <w:style w:type="paragraph" w:styleId="Footer">
    <w:name w:val="footer"/>
    <w:basedOn w:val="Normal"/>
    <w:link w:val="FooterChar"/>
    <w:uiPriority w:val="99"/>
    <w:unhideWhenUsed/>
    <w:rsid w:val="00744B80"/>
    <w:pPr>
      <w:tabs>
        <w:tab w:val="center" w:pos="4680"/>
        <w:tab w:val="right" w:pos="9360"/>
      </w:tabs>
    </w:pPr>
  </w:style>
  <w:style w:type="character" w:customStyle="1" w:styleId="FooterChar">
    <w:name w:val="Footer Char"/>
    <w:basedOn w:val="DefaultParagraphFont"/>
    <w:link w:val="Footer"/>
    <w:uiPriority w:val="99"/>
    <w:rsid w:val="00744B80"/>
    <w:rPr>
      <w:rFonts w:ascii="Arial" w:eastAsia="Arial" w:hAnsi="Arial" w:cs="Arial"/>
      <w:color w:val="000000"/>
    </w:rPr>
  </w:style>
  <w:style w:type="character" w:styleId="PageNumber">
    <w:name w:val="page number"/>
    <w:basedOn w:val="DefaultParagraphFont"/>
    <w:uiPriority w:val="99"/>
    <w:semiHidden/>
    <w:unhideWhenUsed/>
    <w:rsid w:val="00744B80"/>
  </w:style>
  <w:style w:type="paragraph" w:styleId="ListParagraph">
    <w:name w:val="List Paragraph"/>
    <w:basedOn w:val="Normal"/>
    <w:uiPriority w:val="34"/>
    <w:qFormat/>
    <w:rsid w:val="0005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1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chs.weebly.com/uploads/2/5/1/7/25174886/mind-sets-and-equitable-education.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ndsetworks.com/" TargetMode="External"/><Relationship Id="rId8" Type="http://schemas.openxmlformats.org/officeDocument/2006/relationships/hyperlink" Target="http://mindsetonline.com/whatisit/about/" TargetMode="External"/><Relationship Id="rId9" Type="http://schemas.openxmlformats.org/officeDocument/2006/relationships/hyperlink" Target="http://nymag.com/news/features/27840/" TargetMode="External"/><Relationship Id="rId10" Type="http://schemas.openxmlformats.org/officeDocument/2006/relationships/hyperlink" Target="http://www.amazon.com/UDL-Now-Monday-Morning-Implementing-Standards/dp/0989867439/ref=sr_1_1?ie=UTF8&amp;qid=1429640395&amp;sr=8-1&amp;keywords=udl+now+nov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3</cp:revision>
  <cp:lastPrinted>2017-09-02T17:29:00Z</cp:lastPrinted>
  <dcterms:created xsi:type="dcterms:W3CDTF">2017-09-04T17:12:00Z</dcterms:created>
  <dcterms:modified xsi:type="dcterms:W3CDTF">2017-09-04T17:28:00Z</dcterms:modified>
</cp:coreProperties>
</file>