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C0D33" w14:textId="77777777" w:rsidR="003704A6" w:rsidRDefault="003704A6" w:rsidP="003704A6">
      <w:pPr>
        <w:widowControl w:val="0"/>
        <w:shd w:val="clear" w:color="auto" w:fill="FFFF00"/>
        <w:autoSpaceDE w:val="0"/>
        <w:autoSpaceDN w:val="0"/>
        <w:adjustRightInd w:val="0"/>
        <w:jc w:val="center"/>
        <w:rPr>
          <w:rFonts w:ascii="Arial" w:hAnsi="Arial" w:cs="Georgia-Italic"/>
          <w:b/>
          <w:bCs/>
          <w:sz w:val="32"/>
          <w:szCs w:val="32"/>
          <w:lang w:eastAsia="ja-JP"/>
        </w:rPr>
      </w:pPr>
      <w:r w:rsidRPr="00C906ED">
        <w:rPr>
          <w:rFonts w:ascii="Arial" w:hAnsi="Arial" w:cs="Georgia-Italic"/>
          <w:b/>
          <w:bCs/>
          <w:sz w:val="32"/>
          <w:szCs w:val="32"/>
          <w:lang w:eastAsia="ja-JP"/>
        </w:rPr>
        <w:t>Designing High Quality Classroom Assessments</w:t>
      </w:r>
      <w:r>
        <w:rPr>
          <w:rFonts w:ascii="Arial" w:hAnsi="Arial" w:cs="Georgia-Italic"/>
          <w:b/>
          <w:bCs/>
          <w:sz w:val="32"/>
          <w:szCs w:val="32"/>
          <w:lang w:eastAsia="ja-JP"/>
        </w:rPr>
        <w:t>:</w:t>
      </w:r>
    </w:p>
    <w:p w14:paraId="1EC35B09" w14:textId="77777777" w:rsidR="003704A6" w:rsidRPr="00C906ED" w:rsidRDefault="003704A6" w:rsidP="003704A6">
      <w:pPr>
        <w:widowControl w:val="0"/>
        <w:shd w:val="clear" w:color="auto" w:fill="FFFF00"/>
        <w:autoSpaceDE w:val="0"/>
        <w:autoSpaceDN w:val="0"/>
        <w:adjustRightInd w:val="0"/>
        <w:jc w:val="center"/>
        <w:rPr>
          <w:rFonts w:ascii="Arial" w:hAnsi="Arial" w:cs="Georgia-Italic"/>
          <w:b/>
          <w:bCs/>
          <w:sz w:val="32"/>
          <w:szCs w:val="32"/>
          <w:lang w:eastAsia="ja-JP"/>
        </w:rPr>
      </w:pPr>
      <w:r>
        <w:rPr>
          <w:rFonts w:ascii="Arial" w:hAnsi="Arial" w:cs="Georgia-Italic"/>
          <w:b/>
          <w:bCs/>
          <w:sz w:val="32"/>
          <w:szCs w:val="32"/>
          <w:lang w:eastAsia="ja-JP"/>
        </w:rPr>
        <w:t>Method-Target Match</w:t>
      </w:r>
    </w:p>
    <w:p w14:paraId="47882556" w14:textId="77777777" w:rsidR="003704A6" w:rsidRPr="00374A09" w:rsidRDefault="003704A6" w:rsidP="003704A6">
      <w:pPr>
        <w:widowControl w:val="0"/>
        <w:autoSpaceDE w:val="0"/>
        <w:autoSpaceDN w:val="0"/>
        <w:adjustRightInd w:val="0"/>
        <w:rPr>
          <w:rFonts w:ascii="Arial" w:hAnsi="Arial" w:cs="Georgia-Italic"/>
          <w:b/>
          <w:bCs/>
          <w:color w:val="C10000"/>
          <w:sz w:val="28"/>
          <w:szCs w:val="28"/>
          <w:lang w:eastAsia="ja-JP"/>
        </w:rPr>
      </w:pPr>
    </w:p>
    <w:p w14:paraId="4D0D2F81" w14:textId="77777777" w:rsidR="003704A6" w:rsidRDefault="003704A6" w:rsidP="003704A6">
      <w:pPr>
        <w:tabs>
          <w:tab w:val="left" w:pos="1380"/>
        </w:tabs>
        <w:rPr>
          <w:rFonts w:ascii="Arial" w:eastAsia="Times New Roman" w:hAnsi="Arial"/>
        </w:rPr>
      </w:pPr>
      <w:r w:rsidRPr="00374A09">
        <w:rPr>
          <w:rFonts w:ascii="Arial" w:hAnsi="Arial"/>
          <w:b/>
        </w:rPr>
        <w:t>Key question</w:t>
      </w:r>
      <w:r w:rsidRPr="00374A09">
        <w:rPr>
          <w:rFonts w:ascii="Arial" w:eastAsia="Times New Roman" w:hAnsi="Arial"/>
        </w:rPr>
        <w:t xml:space="preserve">:   </w:t>
      </w:r>
    </w:p>
    <w:p w14:paraId="0DE44AD9" w14:textId="77777777" w:rsidR="003704A6" w:rsidRPr="00374A09" w:rsidRDefault="003704A6" w:rsidP="003704A6">
      <w:pPr>
        <w:tabs>
          <w:tab w:val="left" w:pos="1380"/>
        </w:tabs>
        <w:rPr>
          <w:rFonts w:ascii="Arial" w:hAnsi="Arial"/>
        </w:rPr>
      </w:pPr>
    </w:p>
    <w:p w14:paraId="0A18184A" w14:textId="77777777" w:rsidR="003704A6" w:rsidRPr="00374A09" w:rsidRDefault="003704A6" w:rsidP="003704A6">
      <w:pPr>
        <w:rPr>
          <w:rFonts w:ascii="Arial" w:eastAsia="Times New Roman" w:hAnsi="Arial"/>
        </w:rPr>
      </w:pPr>
      <w:r w:rsidRPr="00374A09">
        <w:rPr>
          <w:rFonts w:ascii="Arial" w:eastAsia="Times New Roman" w:hAnsi="Arial"/>
        </w:rPr>
        <w:t>Do assessment methods match learning targets?</w:t>
      </w:r>
    </w:p>
    <w:p w14:paraId="59687DDD" w14:textId="77777777" w:rsidR="003704A6" w:rsidRDefault="003704A6" w:rsidP="003704A6">
      <w:pPr>
        <w:tabs>
          <w:tab w:val="left" w:pos="1380"/>
        </w:tabs>
        <w:rPr>
          <w:rFonts w:ascii="Arial" w:hAnsi="Arial"/>
          <w:b/>
          <w:color w:val="7B7B7B" w:themeColor="accent3" w:themeShade="BF"/>
          <w:sz w:val="28"/>
        </w:rPr>
      </w:pPr>
    </w:p>
    <w:p w14:paraId="18B15CDB" w14:textId="77777777" w:rsidR="003704A6" w:rsidRDefault="003704A6" w:rsidP="003704A6">
      <w:pPr>
        <w:tabs>
          <w:tab w:val="left" w:pos="1380"/>
        </w:tabs>
        <w:rPr>
          <w:rFonts w:ascii="Arial" w:hAnsi="Arial"/>
          <w:b/>
          <w:color w:val="538135" w:themeColor="accent6" w:themeShade="BF"/>
        </w:rPr>
      </w:pPr>
      <w:r w:rsidRPr="00A43A9A">
        <w:rPr>
          <w:rFonts w:ascii="Arial" w:hAnsi="Arial"/>
          <w:b/>
          <w:color w:val="538135" w:themeColor="accent6" w:themeShade="BF"/>
        </w:rPr>
        <w:t>Assessment Method-Target Match</w:t>
      </w:r>
    </w:p>
    <w:p w14:paraId="57983EF4" w14:textId="77777777" w:rsidR="00A43A9A" w:rsidRPr="00A43A9A" w:rsidRDefault="00A43A9A" w:rsidP="003704A6">
      <w:pPr>
        <w:tabs>
          <w:tab w:val="left" w:pos="1380"/>
        </w:tabs>
        <w:rPr>
          <w:rFonts w:ascii="Arial" w:hAnsi="Arial"/>
          <w:b/>
          <w:color w:val="538135" w:themeColor="accent6" w:themeShade="BF"/>
        </w:rPr>
      </w:pPr>
    </w:p>
    <w:p w14:paraId="3700DB3B" w14:textId="2E8DC4AD" w:rsidR="003704A6" w:rsidRPr="00A43A9A" w:rsidRDefault="003704A6" w:rsidP="003704A6">
      <w:pPr>
        <w:widowControl w:val="0"/>
        <w:autoSpaceDE w:val="0"/>
        <w:autoSpaceDN w:val="0"/>
        <w:adjustRightInd w:val="0"/>
        <w:rPr>
          <w:rFonts w:ascii="Arial" w:eastAsia="Times New Roman" w:hAnsi="Arial"/>
        </w:rPr>
      </w:pPr>
      <w:r w:rsidRPr="00A43A9A">
        <w:rPr>
          <w:rFonts w:ascii="Arial" w:eastAsia="Times New Roman" w:hAnsi="Arial"/>
        </w:rPr>
        <w:t>Assessments can accurately or inaccurately reflect the current level of student learning. Obviously, our goal always is to generate accurate information.  When we are clear about our purpose and have deconstructed the learning targets to determine the le</w:t>
      </w:r>
      <w:r w:rsidR="003356B4">
        <w:rPr>
          <w:rFonts w:ascii="Arial" w:eastAsia="Times New Roman" w:hAnsi="Arial"/>
        </w:rPr>
        <w:t>vel of rigor and expectations for</w:t>
      </w:r>
      <w:r w:rsidRPr="00A43A9A">
        <w:rPr>
          <w:rFonts w:ascii="Arial" w:eastAsia="Times New Roman" w:hAnsi="Arial"/>
        </w:rPr>
        <w:t xml:space="preserve"> our students, then we have the foundation for </w:t>
      </w:r>
      <w:r w:rsidR="003356B4">
        <w:rPr>
          <w:rFonts w:ascii="Arial" w:eastAsia="Times New Roman" w:hAnsi="Arial"/>
        </w:rPr>
        <w:t xml:space="preserve">a </w:t>
      </w:r>
      <w:r w:rsidRPr="00A43A9A">
        <w:rPr>
          <w:rFonts w:ascii="Arial" w:eastAsia="Times New Roman" w:hAnsi="Arial"/>
        </w:rPr>
        <w:t>quality assessment because we know what needs to be assessed and what kind of results are needed. Determining the type of learning target—</w:t>
      </w:r>
      <w:r w:rsidRPr="00A43A9A">
        <w:rPr>
          <w:rFonts w:ascii="Arial" w:eastAsia="Times New Roman" w:hAnsi="Arial"/>
          <w:b/>
        </w:rPr>
        <w:t>knowledge</w:t>
      </w:r>
      <w:r w:rsidRPr="00A43A9A">
        <w:rPr>
          <w:rFonts w:ascii="Arial" w:eastAsia="Times New Roman" w:hAnsi="Arial"/>
        </w:rPr>
        <w:t xml:space="preserve"> attainment, </w:t>
      </w:r>
      <w:r w:rsidRPr="00A43A9A">
        <w:rPr>
          <w:rFonts w:ascii="Arial" w:eastAsia="Times New Roman" w:hAnsi="Arial"/>
          <w:b/>
        </w:rPr>
        <w:t>reasoning</w:t>
      </w:r>
      <w:r w:rsidRPr="00A43A9A">
        <w:rPr>
          <w:rFonts w:ascii="Arial" w:eastAsia="Times New Roman" w:hAnsi="Arial"/>
        </w:rPr>
        <w:t xml:space="preserve"> proficiency, mastery of a performance </w:t>
      </w:r>
      <w:r w:rsidRPr="00A43A9A">
        <w:rPr>
          <w:rFonts w:ascii="Arial" w:eastAsia="Times New Roman" w:hAnsi="Arial"/>
          <w:b/>
        </w:rPr>
        <w:t>skill</w:t>
      </w:r>
      <w:r w:rsidRPr="00A43A9A">
        <w:rPr>
          <w:rFonts w:ascii="Arial" w:eastAsia="Times New Roman" w:hAnsi="Arial"/>
        </w:rPr>
        <w:t xml:space="preserve">, </w:t>
      </w:r>
      <w:r w:rsidRPr="00A43A9A">
        <w:rPr>
          <w:rFonts w:ascii="Arial" w:eastAsia="Times New Roman" w:hAnsi="Arial"/>
          <w:b/>
        </w:rPr>
        <w:t>product</w:t>
      </w:r>
      <w:r w:rsidRPr="00A43A9A">
        <w:rPr>
          <w:rFonts w:ascii="Arial" w:eastAsia="Times New Roman" w:hAnsi="Arial"/>
        </w:rPr>
        <w:t xml:space="preserve"> creation or disposition attainment will determine the type of assessment that is most appropriate. </w:t>
      </w:r>
    </w:p>
    <w:p w14:paraId="36E745AB" w14:textId="77777777" w:rsidR="003704A6" w:rsidRPr="00374A09" w:rsidRDefault="003704A6" w:rsidP="003704A6">
      <w:pPr>
        <w:widowControl w:val="0"/>
        <w:autoSpaceDE w:val="0"/>
        <w:autoSpaceDN w:val="0"/>
        <w:adjustRightInd w:val="0"/>
        <w:rPr>
          <w:rFonts w:ascii="Arial" w:eastAsia="Times New Roman" w:hAnsi="Arial"/>
          <w:sz w:val="20"/>
          <w:szCs w:val="20"/>
        </w:rPr>
      </w:pPr>
    </w:p>
    <w:p w14:paraId="616885CA" w14:textId="77777777" w:rsidR="003704A6" w:rsidRPr="00A43A9A" w:rsidRDefault="003704A6" w:rsidP="003704A6">
      <w:pPr>
        <w:pStyle w:val="ListParagraph"/>
        <w:widowControl w:val="0"/>
        <w:numPr>
          <w:ilvl w:val="0"/>
          <w:numId w:val="1"/>
        </w:numPr>
        <w:pBdr>
          <w:top w:val="single" w:sz="4" w:space="1" w:color="auto"/>
          <w:left w:val="single" w:sz="4" w:space="31" w:color="auto"/>
          <w:bottom w:val="single" w:sz="4" w:space="0" w:color="auto"/>
          <w:right w:val="single" w:sz="4" w:space="0" w:color="auto"/>
        </w:pBdr>
        <w:autoSpaceDE w:val="0"/>
        <w:autoSpaceDN w:val="0"/>
        <w:adjustRightInd w:val="0"/>
        <w:rPr>
          <w:rFonts w:ascii="Arial" w:hAnsi="Arial" w:cs="TradeGothic-Bold"/>
          <w:color w:val="7030A0"/>
          <w:lang w:eastAsia="ja-JP"/>
        </w:rPr>
      </w:pPr>
      <w:r w:rsidRPr="00A43A9A">
        <w:rPr>
          <w:rFonts w:ascii="Arial" w:hAnsi="Arial" w:cs="TradeGothic-Bold"/>
          <w:b/>
          <w:bCs/>
          <w:color w:val="7030A0"/>
          <w:lang w:eastAsia="ja-JP"/>
        </w:rPr>
        <w:t xml:space="preserve">Knowledge Targets </w:t>
      </w:r>
      <w:r w:rsidRPr="00A43A9A">
        <w:rPr>
          <w:rFonts w:ascii="Arial" w:hAnsi="Arial" w:cs="TradeGothic-Bold"/>
          <w:color w:val="7030A0"/>
          <w:lang w:eastAsia="ja-JP"/>
        </w:rPr>
        <w:t>represent the factual information, procedural knowledge, and conceptual understandings that underpin a standard.</w:t>
      </w:r>
    </w:p>
    <w:p w14:paraId="01E179F7" w14:textId="77777777" w:rsidR="003704A6" w:rsidRPr="00A43A9A" w:rsidRDefault="003704A6" w:rsidP="003704A6">
      <w:pPr>
        <w:pStyle w:val="ListParagraph"/>
        <w:widowControl w:val="0"/>
        <w:numPr>
          <w:ilvl w:val="0"/>
          <w:numId w:val="1"/>
        </w:numPr>
        <w:pBdr>
          <w:top w:val="single" w:sz="4" w:space="1" w:color="auto"/>
          <w:left w:val="single" w:sz="4" w:space="31" w:color="auto"/>
          <w:bottom w:val="single" w:sz="4" w:space="0" w:color="auto"/>
          <w:right w:val="single" w:sz="4" w:space="0" w:color="auto"/>
        </w:pBdr>
        <w:autoSpaceDE w:val="0"/>
        <w:autoSpaceDN w:val="0"/>
        <w:adjustRightInd w:val="0"/>
        <w:rPr>
          <w:rFonts w:ascii="Arial" w:hAnsi="Arial" w:cs="TradeGothic-Bold"/>
          <w:color w:val="7030A0"/>
          <w:lang w:eastAsia="ja-JP"/>
        </w:rPr>
      </w:pPr>
      <w:r w:rsidRPr="00A43A9A">
        <w:rPr>
          <w:rFonts w:ascii="Arial" w:hAnsi="Arial" w:cs="TradeGothic-Bold"/>
          <w:b/>
          <w:bCs/>
          <w:color w:val="7030A0"/>
          <w:lang w:eastAsia="ja-JP"/>
        </w:rPr>
        <w:t xml:space="preserve">Reasoning Targets </w:t>
      </w:r>
      <w:r w:rsidRPr="00A43A9A">
        <w:rPr>
          <w:rFonts w:ascii="Arial" w:hAnsi="Arial" w:cs="TradeGothic-Bold"/>
          <w:color w:val="7030A0"/>
          <w:lang w:eastAsia="ja-JP"/>
        </w:rPr>
        <w:t>specify thought processes students are to learn to do well within a range of subjects—solve problems, make inferences, draw conclusions, and form judgments.</w:t>
      </w:r>
    </w:p>
    <w:p w14:paraId="4210BB91" w14:textId="77777777" w:rsidR="003704A6" w:rsidRPr="00A43A9A" w:rsidRDefault="003704A6" w:rsidP="003704A6">
      <w:pPr>
        <w:pStyle w:val="ListParagraph"/>
        <w:widowControl w:val="0"/>
        <w:numPr>
          <w:ilvl w:val="0"/>
          <w:numId w:val="1"/>
        </w:numPr>
        <w:pBdr>
          <w:top w:val="single" w:sz="4" w:space="1" w:color="auto"/>
          <w:left w:val="single" w:sz="4" w:space="31" w:color="auto"/>
          <w:bottom w:val="single" w:sz="4" w:space="0" w:color="auto"/>
          <w:right w:val="single" w:sz="4" w:space="0" w:color="auto"/>
        </w:pBdr>
        <w:autoSpaceDE w:val="0"/>
        <w:autoSpaceDN w:val="0"/>
        <w:adjustRightInd w:val="0"/>
        <w:rPr>
          <w:rFonts w:ascii="Arial" w:hAnsi="Arial" w:cs="TradeGothic-Bold"/>
          <w:color w:val="7030A0"/>
          <w:lang w:eastAsia="ja-JP"/>
        </w:rPr>
      </w:pPr>
      <w:r w:rsidRPr="00A43A9A">
        <w:rPr>
          <w:rFonts w:ascii="Arial" w:hAnsi="Arial" w:cs="TradeGothic-Bold"/>
          <w:b/>
          <w:bCs/>
          <w:color w:val="7030A0"/>
          <w:lang w:eastAsia="ja-JP"/>
        </w:rPr>
        <w:t xml:space="preserve">Skill Targets </w:t>
      </w:r>
      <w:r w:rsidRPr="00A43A9A">
        <w:rPr>
          <w:rFonts w:ascii="Arial" w:hAnsi="Arial" w:cs="TradeGothic-Bold"/>
          <w:color w:val="7030A0"/>
          <w:lang w:eastAsia="ja-JP"/>
        </w:rPr>
        <w:t>are those where a demonstration or physical skill-based performance is the heart of the learning.</w:t>
      </w:r>
    </w:p>
    <w:p w14:paraId="16F8846B" w14:textId="77777777" w:rsidR="003704A6" w:rsidRPr="00A43A9A" w:rsidRDefault="003704A6" w:rsidP="003704A6">
      <w:pPr>
        <w:pStyle w:val="ListParagraph"/>
        <w:widowControl w:val="0"/>
        <w:numPr>
          <w:ilvl w:val="0"/>
          <w:numId w:val="1"/>
        </w:numPr>
        <w:pBdr>
          <w:top w:val="single" w:sz="4" w:space="1" w:color="auto"/>
          <w:left w:val="single" w:sz="4" w:space="31" w:color="auto"/>
          <w:bottom w:val="single" w:sz="4" w:space="0" w:color="auto"/>
          <w:right w:val="single" w:sz="4" w:space="0" w:color="auto"/>
        </w:pBdr>
        <w:autoSpaceDE w:val="0"/>
        <w:autoSpaceDN w:val="0"/>
        <w:adjustRightInd w:val="0"/>
        <w:rPr>
          <w:rFonts w:ascii="Arial" w:hAnsi="Arial" w:cs="TradeGothic-Bold"/>
          <w:color w:val="7030A0"/>
          <w:lang w:eastAsia="ja-JP"/>
        </w:rPr>
      </w:pPr>
      <w:r w:rsidRPr="00A43A9A">
        <w:rPr>
          <w:rFonts w:ascii="Arial" w:hAnsi="Arial" w:cs="TradeGothic-Bold"/>
          <w:b/>
          <w:bCs/>
          <w:color w:val="7030A0"/>
          <w:lang w:eastAsia="ja-JP"/>
        </w:rPr>
        <w:t xml:space="preserve">Product Targets </w:t>
      </w:r>
      <w:r w:rsidRPr="00A43A9A">
        <w:rPr>
          <w:rFonts w:ascii="Arial" w:hAnsi="Arial" w:cs="TradeGothic-Bold"/>
          <w:color w:val="7030A0"/>
          <w:lang w:eastAsia="ja-JP"/>
        </w:rPr>
        <w:t>describe learning in terms of artifacts where creation of a product is the focus of the learning target. With product targets, the specifications for quality of the product itself are the focus of teaching and assessment.</w:t>
      </w:r>
    </w:p>
    <w:p w14:paraId="56FCC613" w14:textId="77777777" w:rsidR="003704A6" w:rsidRDefault="003704A6" w:rsidP="003704A6">
      <w:pPr>
        <w:rPr>
          <w:rFonts w:ascii="Times" w:eastAsia="Times New Roman" w:hAnsi="Times"/>
          <w:sz w:val="20"/>
          <w:szCs w:val="20"/>
        </w:rPr>
      </w:pPr>
    </w:p>
    <w:p w14:paraId="3A47B280" w14:textId="1F4DC078" w:rsidR="003704A6" w:rsidRPr="00A43A9A" w:rsidRDefault="003704A6" w:rsidP="003704A6">
      <w:pPr>
        <w:rPr>
          <w:rFonts w:ascii="Arial" w:eastAsia="Times New Roman" w:hAnsi="Arial"/>
        </w:rPr>
      </w:pPr>
      <w:r w:rsidRPr="00A43A9A">
        <w:rPr>
          <w:rFonts w:ascii="Arial" w:eastAsia="Times New Roman" w:hAnsi="Arial"/>
        </w:rPr>
        <w:t xml:space="preserve">Next comes the challenge of creating an assessment that will deliver useful results. This </w:t>
      </w:r>
      <w:r w:rsidR="009814CA">
        <w:rPr>
          <w:rFonts w:ascii="Arial" w:eastAsia="Times New Roman" w:hAnsi="Arial"/>
        </w:rPr>
        <w:t xml:space="preserve">task </w:t>
      </w:r>
      <w:r w:rsidRPr="00A43A9A">
        <w:rPr>
          <w:rFonts w:ascii="Arial" w:eastAsia="Times New Roman" w:hAnsi="Arial"/>
        </w:rPr>
        <w:t>requires an assessment method capable of reflecting the intended target. Will it be selected response, written response, performance assessment, or personal communication? These four assessment methods are not interchangeable: each has strengths and limitations and each works well in some cont</w:t>
      </w:r>
      <w:r w:rsidR="009814CA">
        <w:rPr>
          <w:rFonts w:ascii="Arial" w:eastAsia="Times New Roman" w:hAnsi="Arial"/>
        </w:rPr>
        <w:t xml:space="preserve">exts but not in others. Our aim always is to choose a useful </w:t>
      </w:r>
      <w:r w:rsidRPr="00A43A9A">
        <w:rPr>
          <w:rFonts w:ascii="Arial" w:eastAsia="Times New Roman" w:hAnsi="Arial"/>
        </w:rPr>
        <w:t xml:space="preserve">method for the intended purpose and learning targets—the quality of our assessments hinges on it. </w:t>
      </w:r>
    </w:p>
    <w:p w14:paraId="6B97AC0B" w14:textId="77777777" w:rsidR="003704A6" w:rsidRPr="003704A6" w:rsidRDefault="003704A6" w:rsidP="003704A6">
      <w:pPr>
        <w:widowControl w:val="0"/>
        <w:autoSpaceDE w:val="0"/>
        <w:autoSpaceDN w:val="0"/>
        <w:adjustRightInd w:val="0"/>
        <w:rPr>
          <w:rFonts w:ascii="Arial" w:hAnsi="Arial" w:cs="Georgia-Italic"/>
          <w:b/>
          <w:bCs/>
          <w:color w:val="538135" w:themeColor="accent6" w:themeShade="BF"/>
          <w:sz w:val="28"/>
          <w:szCs w:val="28"/>
          <w:lang w:eastAsia="ja-JP"/>
        </w:rPr>
      </w:pPr>
    </w:p>
    <w:p w14:paraId="34B01024" w14:textId="77777777" w:rsidR="003704A6" w:rsidRPr="00A43A9A" w:rsidRDefault="003704A6" w:rsidP="003704A6">
      <w:pPr>
        <w:widowControl w:val="0"/>
        <w:autoSpaceDE w:val="0"/>
        <w:autoSpaceDN w:val="0"/>
        <w:adjustRightInd w:val="0"/>
        <w:rPr>
          <w:rFonts w:ascii="Arial" w:hAnsi="Arial" w:cs="Georgia-Italic"/>
          <w:b/>
          <w:bCs/>
          <w:color w:val="538135" w:themeColor="accent6" w:themeShade="BF"/>
          <w:lang w:eastAsia="ja-JP"/>
        </w:rPr>
      </w:pPr>
      <w:r w:rsidRPr="00A43A9A">
        <w:rPr>
          <w:rFonts w:ascii="Arial" w:hAnsi="Arial" w:cs="Georgia-Italic"/>
          <w:b/>
          <w:bCs/>
          <w:color w:val="538135" w:themeColor="accent6" w:themeShade="BF"/>
          <w:lang w:eastAsia="ja-JP"/>
        </w:rPr>
        <w:t>Learning Progressions</w:t>
      </w:r>
    </w:p>
    <w:p w14:paraId="06B40324" w14:textId="77777777" w:rsidR="00A43A9A" w:rsidRPr="003704A6" w:rsidRDefault="00A43A9A" w:rsidP="003704A6">
      <w:pPr>
        <w:widowControl w:val="0"/>
        <w:autoSpaceDE w:val="0"/>
        <w:autoSpaceDN w:val="0"/>
        <w:adjustRightInd w:val="0"/>
        <w:rPr>
          <w:rFonts w:ascii="Arial" w:hAnsi="Arial" w:cs="Georgia-Italic"/>
          <w:b/>
          <w:bCs/>
          <w:color w:val="538135" w:themeColor="accent6" w:themeShade="BF"/>
          <w:sz w:val="28"/>
          <w:lang w:eastAsia="ja-JP"/>
        </w:rPr>
      </w:pPr>
      <w:bookmarkStart w:id="0" w:name="_GoBack"/>
      <w:bookmarkEnd w:id="0"/>
    </w:p>
    <w:p w14:paraId="362FAF2C" w14:textId="6E151F15" w:rsidR="00D374BA" w:rsidRPr="00A43A9A" w:rsidRDefault="003704A6" w:rsidP="00A43A9A">
      <w:pPr>
        <w:widowControl w:val="0"/>
        <w:autoSpaceDE w:val="0"/>
        <w:autoSpaceDN w:val="0"/>
        <w:adjustRightInd w:val="0"/>
        <w:rPr>
          <w:rFonts w:ascii="Arial" w:hAnsi="Arial" w:cs="Georgia-Italic"/>
          <w:bCs/>
          <w:sz w:val="20"/>
          <w:szCs w:val="20"/>
          <w:lang w:eastAsia="ja-JP"/>
        </w:rPr>
      </w:pPr>
      <w:r w:rsidRPr="00A43A9A">
        <w:rPr>
          <w:rFonts w:ascii="Arial" w:hAnsi="Arial" w:cs="Georgia-Italic"/>
          <w:bCs/>
          <w:lang w:eastAsia="ja-JP"/>
        </w:rPr>
        <w:t>Once the learning targets have been identified, it is helpful for students to see the progression from entry level to target level to advanced level.</w:t>
      </w:r>
      <w:r w:rsidR="00A43A9A" w:rsidRPr="00A43A9A">
        <w:rPr>
          <w:rFonts w:ascii="Arial" w:hAnsi="Arial" w:cs="Georgia-Italic"/>
          <w:bCs/>
          <w:lang w:eastAsia="ja-JP"/>
        </w:rPr>
        <w:t xml:space="preserve"> </w:t>
      </w:r>
      <w:r w:rsidR="00A43A9A" w:rsidRPr="00A43A9A">
        <w:rPr>
          <w:rFonts w:ascii="Arial" w:hAnsi="Arial" w:cs="Georgia-Italic"/>
          <w:bCs/>
          <w:color w:val="000000" w:themeColor="text1"/>
          <w:lang w:eastAsia="ja-JP"/>
        </w:rPr>
        <w:t>Click on this link to see a middle school teacher explaining her experience using learning progressions:</w:t>
      </w:r>
      <w:r w:rsidR="00A43A9A" w:rsidRPr="00A43A9A">
        <w:rPr>
          <w:rFonts w:ascii="Arial" w:hAnsi="Arial" w:cs="Georgia-Italic"/>
          <w:bCs/>
          <w:color w:val="000000" w:themeColor="text1"/>
          <w:sz w:val="20"/>
          <w:szCs w:val="20"/>
          <w:lang w:eastAsia="ja-JP"/>
        </w:rPr>
        <w:t xml:space="preserve"> </w:t>
      </w:r>
      <w:hyperlink r:id="rId5" w:tgtFrame="_blank" w:history="1">
        <w:r w:rsidRPr="00A43A9A">
          <w:rPr>
            <w:rStyle w:val="Hyperlink"/>
            <w:rFonts w:ascii="Arial" w:eastAsia="Times New Roman" w:hAnsi="Arial"/>
          </w:rPr>
          <w:t>https://www.youtube.com/watch?v=QkVEFYbG45w</w:t>
        </w:r>
      </w:hyperlink>
    </w:p>
    <w:sectPr w:rsidR="00D374BA" w:rsidRPr="00A43A9A" w:rsidSect="00E8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Italic">
    <w:charset w:val="00"/>
    <w:family w:val="roman"/>
    <w:pitch w:val="variable"/>
    <w:sig w:usb0="00000287" w:usb1="00000000" w:usb2="00000000" w:usb3="00000000" w:csb0="0000009F" w:csb1="00000000"/>
  </w:font>
  <w:font w:name="TradeGothic-Bold">
    <w:altName w:val="Times New Roman"/>
    <w:panose1 w:val="00000000000000000000"/>
    <w:charset w:val="4D"/>
    <w:family w:val="swiss"/>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F7D17"/>
    <w:multiLevelType w:val="hybridMultilevel"/>
    <w:tmpl w:val="8304B6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A6"/>
    <w:rsid w:val="003356B4"/>
    <w:rsid w:val="003704A6"/>
    <w:rsid w:val="009814CA"/>
    <w:rsid w:val="00A43A9A"/>
    <w:rsid w:val="00E0140C"/>
    <w:rsid w:val="00E848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BB1A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4A6"/>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4A6"/>
    <w:pPr>
      <w:ind w:left="720"/>
      <w:contextualSpacing/>
    </w:pPr>
  </w:style>
  <w:style w:type="character" w:styleId="Hyperlink">
    <w:name w:val="Hyperlink"/>
    <w:basedOn w:val="DefaultParagraphFont"/>
    <w:uiPriority w:val="99"/>
    <w:unhideWhenUsed/>
    <w:rsid w:val="003704A6"/>
    <w:rPr>
      <w:color w:val="0563C1" w:themeColor="hyperlink"/>
      <w:u w:val="single"/>
    </w:rPr>
  </w:style>
  <w:style w:type="character" w:styleId="FollowedHyperlink">
    <w:name w:val="FollowedHyperlink"/>
    <w:basedOn w:val="DefaultParagraphFont"/>
    <w:uiPriority w:val="99"/>
    <w:semiHidden/>
    <w:unhideWhenUsed/>
    <w:rsid w:val="00370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mail.sparcc.org/OWA/redir.aspx?C=1gM0tWm7aUuKLf-2GPYzEpw0iKWbhNIINTKsjjWWu9T_VEDBS2QJJ5rBKP6nnqHkms631mZxxow.&amp;URL=https%3a%2f%2fwww.youtube.com%2fwatch%3fv%3dQkVEFYbG45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Howley</dc:creator>
  <cp:keywords/>
  <dc:description/>
  <cp:lastModifiedBy>Aimee Howley</cp:lastModifiedBy>
  <cp:revision>3</cp:revision>
  <dcterms:created xsi:type="dcterms:W3CDTF">2017-08-25T15:08:00Z</dcterms:created>
  <dcterms:modified xsi:type="dcterms:W3CDTF">2017-08-25T18:18:00Z</dcterms:modified>
</cp:coreProperties>
</file>