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5C54D" w14:textId="175501A9" w:rsidR="002616D4" w:rsidRPr="0004209E" w:rsidRDefault="002616D4" w:rsidP="0004209E">
      <w:pPr>
        <w:pStyle w:val="Heading1"/>
      </w:pPr>
      <w:bookmarkStart w:id="0" w:name="_GoBack"/>
      <w:r w:rsidRPr="0004209E">
        <w:t>Trauma-informed Education: Part of Good Teaching</w:t>
      </w:r>
    </w:p>
    <w:bookmarkEnd w:id="0"/>
    <w:p w14:paraId="52D21A77" w14:textId="42AB0AAF" w:rsidR="00340E80" w:rsidRPr="00C47283" w:rsidRDefault="002B1213" w:rsidP="00340E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does it mean </w:t>
      </w:r>
      <w:r w:rsidR="00340E80" w:rsidRPr="00C47283">
        <w:rPr>
          <w:rFonts w:ascii="Arial" w:hAnsi="Arial" w:cs="Arial"/>
        </w:rPr>
        <w:t>to practice a trauma-informed set of practices as you teach? It involves paying attention to the basic processes of learning</w:t>
      </w:r>
      <w:r w:rsidR="00202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the instructional events that address those processes: careful p</w:t>
      </w:r>
      <w:r w:rsidR="00340E80" w:rsidRPr="00C47283">
        <w:rPr>
          <w:rFonts w:ascii="Arial" w:hAnsi="Arial" w:cs="Arial"/>
        </w:rPr>
        <w:t xml:space="preserve">reparation, </w:t>
      </w:r>
      <w:r w:rsidR="002022A7">
        <w:rPr>
          <w:rFonts w:ascii="Arial" w:hAnsi="Arial" w:cs="Arial"/>
        </w:rPr>
        <w:t>explanation of the “why” of learning something new</w:t>
      </w:r>
      <w:r w:rsidR="00340E80" w:rsidRPr="00C4728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activation of prior knowledge, clear explanation of ideas, transparent demonstration of </w:t>
      </w:r>
      <w:r w:rsidR="002022A7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>skills, p</w:t>
      </w:r>
      <w:r w:rsidR="00340E80" w:rsidRPr="00C47283">
        <w:rPr>
          <w:rFonts w:ascii="Arial" w:hAnsi="Arial" w:cs="Arial"/>
        </w:rPr>
        <w:t>ractice</w:t>
      </w:r>
      <w:r>
        <w:rPr>
          <w:rFonts w:ascii="Arial" w:hAnsi="Arial" w:cs="Arial"/>
        </w:rPr>
        <w:t xml:space="preserve"> and reinforcement, formative assessment, and feedback</w:t>
      </w:r>
      <w:r w:rsidR="00340E80" w:rsidRPr="00C47283">
        <w:rPr>
          <w:rFonts w:ascii="Arial" w:hAnsi="Arial" w:cs="Arial"/>
        </w:rPr>
        <w:t>.</w:t>
      </w:r>
    </w:p>
    <w:p w14:paraId="614E27BD" w14:textId="3CB2CC0C" w:rsidR="00340E80" w:rsidRDefault="00340E80" w:rsidP="00340E80">
      <w:pPr>
        <w:rPr>
          <w:rFonts w:ascii="Arial" w:hAnsi="Arial" w:cs="Arial"/>
        </w:rPr>
      </w:pPr>
      <w:r w:rsidRPr="00C47283">
        <w:rPr>
          <w:rFonts w:ascii="Arial" w:hAnsi="Arial" w:cs="Arial"/>
        </w:rPr>
        <w:t xml:space="preserve">Within each of these processes are opportunities for </w:t>
      </w:r>
      <w:r w:rsidR="002022A7">
        <w:rPr>
          <w:rFonts w:ascii="Arial" w:hAnsi="Arial" w:cs="Arial"/>
        </w:rPr>
        <w:t xml:space="preserve">engaging students in meaningful ways and </w:t>
      </w:r>
      <w:r w:rsidRPr="00C47283">
        <w:rPr>
          <w:rFonts w:ascii="Arial" w:hAnsi="Arial" w:cs="Arial"/>
        </w:rPr>
        <w:t xml:space="preserve">supporting </w:t>
      </w:r>
      <w:r w:rsidR="002022A7">
        <w:rPr>
          <w:rFonts w:ascii="Arial" w:hAnsi="Arial" w:cs="Arial"/>
        </w:rPr>
        <w:t xml:space="preserve">their efforts. Curiously, educators who routinely accomplish these two large goals </w:t>
      </w:r>
      <w:r w:rsidR="00824B9F">
        <w:rPr>
          <w:rFonts w:ascii="Arial" w:hAnsi="Arial" w:cs="Arial"/>
        </w:rPr>
        <w:t xml:space="preserve">end up </w:t>
      </w:r>
      <w:r w:rsidR="002022A7">
        <w:rPr>
          <w:rFonts w:ascii="Arial" w:hAnsi="Arial" w:cs="Arial"/>
        </w:rPr>
        <w:t>earn</w:t>
      </w:r>
      <w:r w:rsidR="00824B9F">
        <w:rPr>
          <w:rFonts w:ascii="Arial" w:hAnsi="Arial" w:cs="Arial"/>
        </w:rPr>
        <w:t>ing</w:t>
      </w:r>
      <w:r w:rsidR="002022A7">
        <w:rPr>
          <w:rFonts w:ascii="Arial" w:hAnsi="Arial" w:cs="Arial"/>
        </w:rPr>
        <w:t xml:space="preserve"> the trust of students.</w:t>
      </w:r>
      <w:r w:rsidR="00824B9F">
        <w:rPr>
          <w:rFonts w:ascii="Arial" w:hAnsi="Arial" w:cs="Arial"/>
        </w:rPr>
        <w:t xml:space="preserve"> And trust is the basis for trauma-informed practice. </w:t>
      </w:r>
    </w:p>
    <w:p w14:paraId="324AC965" w14:textId="78B0BFAE" w:rsidR="00824B9F" w:rsidRDefault="00824B9F" w:rsidP="00340E80">
      <w:pPr>
        <w:rPr>
          <w:rFonts w:ascii="Arial" w:hAnsi="Arial" w:cs="Arial"/>
        </w:rPr>
      </w:pPr>
      <w:r>
        <w:rPr>
          <w:rFonts w:ascii="Arial" w:hAnsi="Arial" w:cs="Arial"/>
        </w:rPr>
        <w:t>The list below</w:t>
      </w:r>
      <w:r w:rsidR="00CB60B7">
        <w:rPr>
          <w:rFonts w:ascii="Arial" w:hAnsi="Arial" w:cs="Arial"/>
        </w:rPr>
        <w:t xml:space="preserve">, adapted from Brake (2019) </w:t>
      </w:r>
      <w:r>
        <w:rPr>
          <w:rFonts w:ascii="Arial" w:hAnsi="Arial" w:cs="Arial"/>
        </w:rPr>
        <w:t>includes some effective teaching methods that build academic skills while also building trust:</w:t>
      </w:r>
    </w:p>
    <w:p w14:paraId="0415D50A" w14:textId="3BC32547" w:rsidR="00F9773B" w:rsidRPr="00F9773B" w:rsidRDefault="00F9773B" w:rsidP="00F9773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Establish clear academic and behavioral expectations.</w:t>
      </w:r>
    </w:p>
    <w:p w14:paraId="2439E08D" w14:textId="087CB1C3" w:rsidR="00D060C0" w:rsidRDefault="00D060C0" w:rsidP="00824B9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Show patience with students as they are learning to behave in acceptable ways.</w:t>
      </w:r>
    </w:p>
    <w:p w14:paraId="32BC2CCE" w14:textId="4C889F78" w:rsidR="00F9773B" w:rsidRPr="00F9773B" w:rsidRDefault="00F9773B" w:rsidP="00F9773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Acknowledge students’ worries and help them process them productively.</w:t>
      </w:r>
    </w:p>
    <w:p w14:paraId="3222BC8E" w14:textId="4BC2B9A0" w:rsidR="00CB60B7" w:rsidRDefault="00CB60B7" w:rsidP="00824B9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Provide opportunities for one-on-one teacher-student conferences.</w:t>
      </w:r>
    </w:p>
    <w:p w14:paraId="08580E10" w14:textId="50400ADC" w:rsidR="00CB60B7" w:rsidRDefault="00CB60B7" w:rsidP="00824B9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Make learning enjoyable.</w:t>
      </w:r>
    </w:p>
    <w:p w14:paraId="43ED7675" w14:textId="1D58A47D" w:rsidR="00CB60B7" w:rsidRDefault="00CB60B7" w:rsidP="00824B9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Be available to students in the classroom and beyond.</w:t>
      </w:r>
    </w:p>
    <w:p w14:paraId="39D61E02" w14:textId="35AB8C0F" w:rsidR="00CB60B7" w:rsidRDefault="00CB60B7" w:rsidP="00CB60B7">
      <w:pPr>
        <w:rPr>
          <w:rFonts w:ascii="Arial" w:hAnsi="Arial" w:cs="Arial"/>
        </w:rPr>
      </w:pPr>
    </w:p>
    <w:p w14:paraId="1128EA94" w14:textId="77777777" w:rsidR="005731EC" w:rsidRDefault="005731EC" w:rsidP="00CB60B7">
      <w:pPr>
        <w:rPr>
          <w:rFonts w:ascii="Arial" w:hAnsi="Arial" w:cs="Arial"/>
        </w:rPr>
      </w:pPr>
    </w:p>
    <w:p w14:paraId="691A30E4" w14:textId="77F9090C" w:rsidR="00CB60B7" w:rsidRPr="0004209E" w:rsidRDefault="00CB60B7" w:rsidP="0004209E">
      <w:pPr>
        <w:pStyle w:val="Heading2"/>
      </w:pPr>
      <w:r w:rsidRPr="0004209E">
        <w:t>Reference</w:t>
      </w:r>
    </w:p>
    <w:p w14:paraId="56FAFC65" w14:textId="1900CD2B" w:rsidR="00CB60B7" w:rsidRDefault="00CB60B7" w:rsidP="00CB60B7">
      <w:pPr>
        <w:rPr>
          <w:rFonts w:ascii="Arial" w:hAnsi="Arial" w:cs="Arial"/>
        </w:rPr>
      </w:pPr>
      <w:r w:rsidRPr="00CB60B7">
        <w:rPr>
          <w:rFonts w:ascii="Arial" w:hAnsi="Arial" w:cs="Arial"/>
        </w:rPr>
        <w:t>Brake, A. (</w:t>
      </w:r>
      <w:r>
        <w:rPr>
          <w:rFonts w:ascii="Arial" w:hAnsi="Arial" w:cs="Arial"/>
        </w:rPr>
        <w:t>2019</w:t>
      </w:r>
      <w:r w:rsidRPr="00CB60B7">
        <w:rPr>
          <w:rFonts w:ascii="Arial" w:hAnsi="Arial" w:cs="Arial"/>
        </w:rPr>
        <w:t xml:space="preserve">). Right from the </w:t>
      </w:r>
      <w:r>
        <w:rPr>
          <w:rFonts w:ascii="Arial" w:hAnsi="Arial" w:cs="Arial"/>
        </w:rPr>
        <w:t>s</w:t>
      </w:r>
      <w:r w:rsidRPr="00CB60B7">
        <w:rPr>
          <w:rFonts w:ascii="Arial" w:hAnsi="Arial" w:cs="Arial"/>
        </w:rPr>
        <w:t xml:space="preserve">tart: </w:t>
      </w:r>
      <w:r w:rsidR="00F9773B">
        <w:rPr>
          <w:rFonts w:ascii="Arial" w:hAnsi="Arial" w:cs="Arial"/>
        </w:rPr>
        <w:t>C</w:t>
      </w:r>
      <w:r w:rsidRPr="00CB60B7">
        <w:rPr>
          <w:rFonts w:ascii="Arial" w:hAnsi="Arial" w:cs="Arial"/>
        </w:rPr>
        <w:t xml:space="preserve">ritical classroom practices for building teacher–student trust in the first 10 weeks of ninth grade. </w:t>
      </w:r>
      <w:r w:rsidRPr="00CB60B7">
        <w:rPr>
          <w:rFonts w:ascii="Arial" w:hAnsi="Arial" w:cs="Arial"/>
          <w:i/>
          <w:iCs/>
        </w:rPr>
        <w:t>Urban Review.</w:t>
      </w:r>
      <w:r w:rsidRPr="00CB60B7">
        <w:rPr>
          <w:rFonts w:ascii="Arial" w:hAnsi="Arial" w:cs="Arial"/>
        </w:rPr>
        <w:t xml:space="preserve"> </w:t>
      </w:r>
      <w:hyperlink r:id="rId5" w:history="1">
        <w:r w:rsidR="00873938" w:rsidRPr="00C60CFE">
          <w:rPr>
            <w:rStyle w:val="Hyperlink"/>
            <w:rFonts w:ascii="Arial" w:hAnsi="Arial" w:cs="Arial"/>
          </w:rPr>
          <w:t>https://doi-org.proxy.library.ohio.edu/10.1007/s11256-019-00528-z</w:t>
        </w:r>
      </w:hyperlink>
    </w:p>
    <w:p w14:paraId="5713FDE6" w14:textId="77777777" w:rsidR="00873938" w:rsidRPr="00CB60B7" w:rsidRDefault="00873938" w:rsidP="00CB60B7">
      <w:pPr>
        <w:rPr>
          <w:rFonts w:ascii="Arial" w:hAnsi="Arial" w:cs="Arial"/>
        </w:rPr>
      </w:pPr>
    </w:p>
    <w:p w14:paraId="58C00300" w14:textId="5F7BAC19" w:rsidR="00340E80" w:rsidRPr="00C47283" w:rsidRDefault="00340E80" w:rsidP="00340E80">
      <w:pPr>
        <w:rPr>
          <w:rFonts w:ascii="Arial" w:hAnsi="Arial" w:cs="Arial"/>
          <w:b/>
          <w:bCs/>
          <w:smallCaps/>
          <w:color w:val="C00000"/>
          <w:spacing w:val="5"/>
        </w:rPr>
      </w:pPr>
    </w:p>
    <w:p w14:paraId="593FFD94" w14:textId="4FEF89EC" w:rsidR="00340E80" w:rsidRPr="00C47283" w:rsidRDefault="00340E80" w:rsidP="00340E80">
      <w:pPr>
        <w:rPr>
          <w:rStyle w:val="IntenseReference"/>
          <w:rFonts w:ascii="Arial" w:hAnsi="Arial" w:cs="Arial"/>
        </w:rPr>
      </w:pPr>
    </w:p>
    <w:p w14:paraId="7D2D297C" w14:textId="77777777" w:rsidR="009D38C3" w:rsidRPr="00C47283" w:rsidRDefault="0004209E">
      <w:pPr>
        <w:rPr>
          <w:rFonts w:ascii="Arial" w:hAnsi="Arial" w:cs="Arial"/>
        </w:rPr>
      </w:pPr>
    </w:p>
    <w:sectPr w:rsidR="009D38C3" w:rsidRPr="00C47283" w:rsidSect="00422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035E"/>
    <w:multiLevelType w:val="hybridMultilevel"/>
    <w:tmpl w:val="30B2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7669"/>
    <w:multiLevelType w:val="hybridMultilevel"/>
    <w:tmpl w:val="B322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750A7"/>
    <w:multiLevelType w:val="hybridMultilevel"/>
    <w:tmpl w:val="C870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80"/>
    <w:rsid w:val="0004209E"/>
    <w:rsid w:val="002022A7"/>
    <w:rsid w:val="002616D4"/>
    <w:rsid w:val="002B1213"/>
    <w:rsid w:val="00340E80"/>
    <w:rsid w:val="0042264C"/>
    <w:rsid w:val="0053194C"/>
    <w:rsid w:val="005731EC"/>
    <w:rsid w:val="00824B9F"/>
    <w:rsid w:val="00873938"/>
    <w:rsid w:val="00926855"/>
    <w:rsid w:val="00A47B35"/>
    <w:rsid w:val="00C47283"/>
    <w:rsid w:val="00CB60B7"/>
    <w:rsid w:val="00D060C0"/>
    <w:rsid w:val="00D5596D"/>
    <w:rsid w:val="00E01352"/>
    <w:rsid w:val="00F9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8411"/>
  <w15:chartTrackingRefBased/>
  <w15:docId w15:val="{66374D14-8F5F-A24A-9ECC-92B1DE66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E80"/>
    <w:pPr>
      <w:spacing w:after="160" w:line="259" w:lineRule="auto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209E"/>
    <w:pPr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09E"/>
    <w:pPr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0E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209E"/>
    <w:rPr>
      <w:rFonts w:ascii="Arial" w:hAnsi="Arial" w:cs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40E80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IntenseReference">
    <w:name w:val="Intense Reference"/>
    <w:basedOn w:val="DefaultParagraphFont"/>
    <w:uiPriority w:val="32"/>
    <w:qFormat/>
    <w:rsid w:val="00340E80"/>
    <w:rPr>
      <w:b/>
      <w:bCs/>
      <w:smallCaps/>
      <w:color w:val="C00000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E8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80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4209E"/>
    <w:rPr>
      <w:rFonts w:ascii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24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9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-org.proxy.library.ohio.edu/10.1007/s11256-019-00528-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1290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Trauma-informed Education: Part of Good Teaching</dc:title>
  <dc:subject/>
  <dc:creator>Aimee Howley</dc:creator>
  <cp:keywords/>
  <dc:description/>
  <cp:lastModifiedBy>Nicole LaGrasso</cp:lastModifiedBy>
  <cp:revision>2</cp:revision>
  <dcterms:created xsi:type="dcterms:W3CDTF">2020-02-10T20:09:00Z</dcterms:created>
  <dcterms:modified xsi:type="dcterms:W3CDTF">2020-02-10T20:09:00Z</dcterms:modified>
  <cp:category/>
</cp:coreProperties>
</file>